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0131D" w:rsidRPr="00F67EA6" w:rsidP="00E0131D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F67EA6">
        <w:rPr>
          <w:b/>
          <w:color w:val="000000" w:themeColor="text1"/>
          <w:sz w:val="28"/>
          <w:szCs w:val="28"/>
          <w:u w:val="single"/>
        </w:rPr>
        <w:t xml:space="preserve">Proposed Amendments to the Approved Highways </w:t>
      </w:r>
      <w:r w:rsidRPr="00F67EA6">
        <w:rPr>
          <w:b/>
          <w:color w:val="000000" w:themeColor="text1"/>
          <w:sz w:val="28"/>
          <w:szCs w:val="28"/>
          <w:u w:val="single"/>
        </w:rPr>
        <w:t xml:space="preserve">and Transport </w:t>
      </w:r>
      <w:r w:rsidRPr="00F67EA6">
        <w:rPr>
          <w:b/>
          <w:color w:val="000000" w:themeColor="text1"/>
          <w:sz w:val="28"/>
          <w:szCs w:val="28"/>
          <w:u w:val="single"/>
        </w:rPr>
        <w:t>Capital Programmes</w:t>
      </w:r>
    </w:p>
    <w:tbl>
      <w:tblPr>
        <w:tblStyle w:val="TableGrid"/>
        <w:tblW w:w="22397" w:type="dxa"/>
        <w:tblInd w:w="-572" w:type="dxa"/>
        <w:tblLayout w:type="fixed"/>
        <w:tblLook w:val="04A0"/>
      </w:tblPr>
      <w:tblGrid>
        <w:gridCol w:w="567"/>
        <w:gridCol w:w="1418"/>
        <w:gridCol w:w="2410"/>
        <w:gridCol w:w="12190"/>
        <w:gridCol w:w="1418"/>
        <w:gridCol w:w="1559"/>
        <w:gridCol w:w="1134"/>
        <w:gridCol w:w="1701"/>
      </w:tblGrid>
      <w:tr w:rsidTr="00E0131D">
        <w:tblPrEx>
          <w:tblW w:w="22397" w:type="dxa"/>
          <w:tblInd w:w="-572" w:type="dxa"/>
          <w:tblLayout w:type="fixed"/>
          <w:tblLook w:val="04A0"/>
        </w:tblPrEx>
        <w:trPr>
          <w:trHeight w:val="455"/>
        </w:trPr>
        <w:tc>
          <w:tcPr>
            <w:tcW w:w="22397" w:type="dxa"/>
            <w:gridSpan w:val="8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Project Details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98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131D" w:rsidRPr="00F67EA6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 xml:space="preserve">Proposed Scheme </w:t>
            </w:r>
            <w:r w:rsidRPr="00F67EA6">
              <w:rPr>
                <w:b/>
                <w:color w:val="000000" w:themeColor="text1"/>
                <w:sz w:val="24"/>
                <w:szCs w:val="24"/>
              </w:rPr>
              <w:t>Allocation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16"/>
        </w:trPr>
        <w:tc>
          <w:tcPr>
            <w:tcW w:w="567" w:type="dxa"/>
            <w:shd w:val="clear" w:color="auto" w:fill="auto"/>
          </w:tcPr>
          <w:p w:rsidR="00015D73" w:rsidRPr="00184591" w:rsidP="000112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15D73" w:rsidRPr="00184591" w:rsidP="000112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5D73" w:rsidRPr="00184591" w:rsidP="0001128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015D73" w:rsidRPr="00184591" w:rsidP="00015D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New Start 2016/17</w:t>
            </w: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 Footways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5513"/>
        </w:trPr>
        <w:tc>
          <w:tcPr>
            <w:tcW w:w="567" w:type="dxa"/>
            <w:shd w:val="clear" w:color="auto" w:fill="auto"/>
          </w:tcPr>
          <w:p w:rsidR="00015D73" w:rsidRPr="00184591" w:rsidP="000112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15D73" w:rsidRPr="00184591" w:rsidP="00011283">
            <w:pPr>
              <w:rPr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</w:p>
        </w:tc>
        <w:tc>
          <w:tcPr>
            <w:tcW w:w="2410" w:type="dxa"/>
            <w:shd w:val="clear" w:color="auto" w:fill="auto"/>
          </w:tcPr>
          <w:p w:rsidR="00A54177" w:rsidRPr="00C65BDA" w:rsidP="000112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Ribble Valley South West, </w:t>
            </w:r>
            <w:r w:rsidRPr="00015D73">
              <w:rPr>
                <w:color w:val="000000" w:themeColor="text1"/>
                <w:sz w:val="24"/>
                <w:szCs w:val="24"/>
              </w:rPr>
              <w:t>Ribble Valley</w:t>
            </w:r>
            <w:r>
              <w:rPr>
                <w:color w:val="000000" w:themeColor="text1"/>
                <w:sz w:val="24"/>
                <w:szCs w:val="24"/>
              </w:rPr>
              <w:t xml:space="preserve">; Burnley Central East, Burnley North East, </w:t>
            </w:r>
            <w:r>
              <w:rPr>
                <w:color w:val="000000" w:themeColor="text1"/>
                <w:sz w:val="24"/>
                <w:szCs w:val="24"/>
              </w:rPr>
              <w:t xml:space="preserve">Padiham and Burnley West, </w:t>
            </w:r>
            <w:r>
              <w:rPr>
                <w:color w:val="000000" w:themeColor="text1"/>
                <w:sz w:val="24"/>
                <w:szCs w:val="24"/>
              </w:rPr>
              <w:t>Burnley</w:t>
            </w:r>
            <w:r>
              <w:rPr>
                <w:color w:val="000000" w:themeColor="text1"/>
                <w:sz w:val="24"/>
                <w:szCs w:val="24"/>
              </w:rPr>
              <w:t xml:space="preserve">; Great Harwood, Rishton and Clayton-le-Moors, </w:t>
            </w:r>
            <w:r>
              <w:rPr>
                <w:color w:val="000000" w:themeColor="text1"/>
                <w:sz w:val="24"/>
                <w:szCs w:val="24"/>
              </w:rPr>
              <w:t>Hyndburn</w:t>
            </w:r>
            <w:r>
              <w:rPr>
                <w:color w:val="000000" w:themeColor="text1"/>
                <w:sz w:val="24"/>
                <w:szCs w:val="24"/>
              </w:rPr>
              <w:t xml:space="preserve">; Brierfield and Nelson West, </w:t>
            </w:r>
            <w:r>
              <w:rPr>
                <w:color w:val="000000" w:themeColor="text1"/>
                <w:sz w:val="24"/>
                <w:szCs w:val="24"/>
              </w:rPr>
              <w:t xml:space="preserve">Brierfield and Nelson North, </w:t>
            </w:r>
            <w:r>
              <w:rPr>
                <w:color w:val="000000" w:themeColor="text1"/>
                <w:sz w:val="24"/>
                <w:szCs w:val="24"/>
              </w:rPr>
              <w:t xml:space="preserve">Pendle Hill, </w:t>
            </w:r>
            <w:r>
              <w:rPr>
                <w:color w:val="000000" w:themeColor="text1"/>
                <w:sz w:val="24"/>
                <w:szCs w:val="24"/>
              </w:rPr>
              <w:t>Pendle;</w:t>
            </w:r>
            <w:r>
              <w:rPr>
                <w:color w:val="000000" w:themeColor="text1"/>
                <w:sz w:val="24"/>
                <w:szCs w:val="24"/>
              </w:rPr>
              <w:t xml:space="preserve"> Rossendale South, </w:t>
            </w:r>
            <w:r>
              <w:rPr>
                <w:color w:val="000000" w:themeColor="text1"/>
                <w:sz w:val="24"/>
                <w:szCs w:val="24"/>
              </w:rPr>
              <w:t>Rossendale</w:t>
            </w:r>
            <w:r>
              <w:rPr>
                <w:color w:val="000000" w:themeColor="text1"/>
                <w:sz w:val="24"/>
                <w:szCs w:val="24"/>
              </w:rPr>
              <w:t xml:space="preserve">; Morecambe West, </w:t>
            </w:r>
            <w:r>
              <w:rPr>
                <w:color w:val="000000" w:themeColor="text1"/>
                <w:sz w:val="24"/>
                <w:szCs w:val="24"/>
              </w:rPr>
              <w:t>Lancaster</w:t>
            </w:r>
            <w:r>
              <w:rPr>
                <w:color w:val="000000" w:themeColor="text1"/>
                <w:sz w:val="24"/>
                <w:szCs w:val="24"/>
              </w:rPr>
              <w:t>; Fylde West,</w:t>
            </w:r>
            <w:r w:rsidRPr="00015D7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Fylde</w:t>
            </w:r>
          </w:p>
        </w:tc>
        <w:tc>
          <w:tcPr>
            <w:tcW w:w="12190" w:type="dxa"/>
            <w:shd w:val="clear" w:color="auto" w:fill="auto"/>
          </w:tcPr>
          <w:p w:rsidR="004F205C" w:rsidRPr="00F67EA6" w:rsidP="00F548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>The following projects have been completed with actual costs all less than their allocated budget due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to efficiencies realised on site. It is therefore proposed to release the remaining </w:t>
            </w:r>
            <w:r>
              <w:rPr>
                <w:color w:val="000000" w:themeColor="text1"/>
                <w:sz w:val="24"/>
                <w:szCs w:val="24"/>
              </w:rPr>
              <w:t>funding</w:t>
            </w:r>
            <w:r>
              <w:rPr>
                <w:color w:val="000000" w:themeColor="text1"/>
                <w:sz w:val="24"/>
                <w:szCs w:val="24"/>
              </w:rPr>
              <w:t xml:space="preserve"> back into the 2016/17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programme:</w:t>
            </w:r>
          </w:p>
          <w:p w:rsidR="004F205C" w:rsidRPr="00F67EA6" w:rsidP="003C0178">
            <w:pPr>
              <w:rPr>
                <w:color w:val="000000" w:themeColor="text1"/>
                <w:sz w:val="10"/>
                <w:szCs w:val="10"/>
              </w:rPr>
            </w:pPr>
          </w:p>
          <w:p w:rsidR="00436A5F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 w:rsidRPr="00015D73">
              <w:rPr>
                <w:rFonts w:cs="Arial"/>
                <w:color w:val="000000" w:themeColor="text1"/>
                <w:sz w:val="24"/>
                <w:szCs w:val="24"/>
              </w:rPr>
              <w:t>Knowsley Road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(Rib</w:t>
            </w:r>
            <w:r>
              <w:rPr>
                <w:color w:val="000000" w:themeColor="text1"/>
                <w:sz w:val="24"/>
                <w:szCs w:val="24"/>
              </w:rPr>
              <w:t xml:space="preserve">ble Valley) – releasing £2,948  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4F205C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 w:rsidRPr="00C65BDA">
              <w:rPr>
                <w:color w:val="000000" w:themeColor="text1"/>
                <w:sz w:val="24"/>
                <w:szCs w:val="24"/>
              </w:rPr>
              <w:t>Whalley Road (Ribble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Valley) – releasing £</w:t>
            </w:r>
            <w:r>
              <w:rPr>
                <w:color w:val="000000" w:themeColor="text1"/>
                <w:sz w:val="24"/>
                <w:szCs w:val="24"/>
              </w:rPr>
              <w:t xml:space="preserve">11,892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436A5F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Waddington Avenue/Wycoller Ave</w:t>
            </w:r>
            <w:r>
              <w:rPr>
                <w:color w:val="000000" w:themeColor="text1"/>
                <w:sz w:val="24"/>
                <w:szCs w:val="24"/>
              </w:rPr>
              <w:t>nue (Burnley) – releasing £4,552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F54059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Prairie Crescent (Burnley) – releasing £7,785                                                     </w:t>
            </w:r>
          </w:p>
          <w:p w:rsidR="007E4488" w:rsidRPr="00363F18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 Hubert's Street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(Hyndburn) – releasing £5,566                                               </w:t>
            </w:r>
          </w:p>
          <w:p w:rsidR="006E4E0D" w:rsidRPr="00BC6311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 w:rsidRPr="003915E6">
              <w:rPr>
                <w:bCs/>
                <w:color w:val="000000" w:themeColor="text1"/>
                <w:sz w:val="24"/>
                <w:szCs w:val="24"/>
              </w:rPr>
              <w:t>Moseley Street (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Pendle) – releasing £3,583                              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BC6311" w:rsidRPr="00BC6311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Westmor</w:t>
            </w:r>
            <w:r>
              <w:rPr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land Street (Pendle) – releasing £3,913                                             </w:t>
            </w:r>
          </w:p>
          <w:p w:rsidR="00BC6311" w:rsidRPr="00477EE1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Accrington Road (Burnley) – releasing £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42,404                                                 </w:t>
            </w:r>
          </w:p>
          <w:p w:rsidR="00477EE1" w:rsidRPr="00477EE1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Mellor Brook Bypass (Ribble Valley) – releasing £3,780                     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477EE1" w:rsidRPr="004E1A37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Wheatley Lane Road (Pendle) – releasing £24,700                                           </w:t>
            </w:r>
          </w:p>
          <w:p w:rsidR="004E1A37" w:rsidRPr="004D75A2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Mire Ash Brow (Ribble Valley) – releasing £21,387                                           </w:t>
            </w:r>
          </w:p>
          <w:p w:rsidR="004D75A2" w:rsidRPr="004D75A2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York Lane (Ribble Valley) – releasing £10,485            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  <w:p w:rsidR="004D75A2" w:rsidRPr="00CB1E73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Oaklands Drive (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Rossendale) – releasing £19,122                                             </w:t>
            </w:r>
          </w:p>
          <w:p w:rsidR="00CB1E73" w:rsidRPr="00676044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South Road (Lancaster) – releasing £31,588                                                       </w:t>
            </w:r>
          </w:p>
          <w:p w:rsidR="00676044" w:rsidP="003C0178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Peel Road (Fylde) – releasing £28,629                                                                  </w:t>
            </w:r>
          </w:p>
          <w:p w:rsidR="004F205C" w:rsidRPr="005615D6" w:rsidP="003C0178">
            <w:pPr>
              <w:pStyle w:val="ListParagraph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F548A8" w:rsidP="004468B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548A8">
              <w:rPr>
                <w:rFonts w:ascii="Calibri" w:hAnsi="Calibri"/>
                <w:bCs/>
                <w:color w:val="000000"/>
                <w:sz w:val="24"/>
                <w:szCs w:val="24"/>
              </w:rPr>
              <w:t>£774,126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F548A8" w:rsidP="000112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8A8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F548A8" w:rsidP="004468B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548A8">
              <w:rPr>
                <w:rFonts w:ascii="Calibri" w:hAnsi="Calibri"/>
                <w:bCs/>
                <w:color w:val="000000"/>
                <w:sz w:val="24"/>
                <w:szCs w:val="24"/>
              </w:rPr>
              <w:t>£222,334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F548A8" w:rsidP="004468B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548A8">
              <w:rPr>
                <w:rFonts w:ascii="Calibri" w:hAnsi="Calibri"/>
                <w:color w:val="000000"/>
                <w:sz w:val="24"/>
                <w:szCs w:val="24"/>
              </w:rPr>
              <w:t>£551,792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705"/>
        </w:trPr>
        <w:tc>
          <w:tcPr>
            <w:tcW w:w="567" w:type="dxa"/>
            <w:shd w:val="clear" w:color="auto" w:fill="auto"/>
          </w:tcPr>
          <w:p w:rsidR="00374138" w:rsidP="000112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74138" w:rsidRPr="00F67EA6" w:rsidP="0001128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</w:p>
        </w:tc>
        <w:tc>
          <w:tcPr>
            <w:tcW w:w="2410" w:type="dxa"/>
            <w:shd w:val="clear" w:color="auto" w:fill="auto"/>
          </w:tcPr>
          <w:p w:rsidR="00374138" w:rsidRPr="003915E6" w:rsidP="00CD72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Great Harwood, Rishton and Clayton-le-Moors, </w:t>
            </w:r>
            <w:r>
              <w:rPr>
                <w:color w:val="000000" w:themeColor="text1"/>
                <w:sz w:val="24"/>
                <w:szCs w:val="24"/>
              </w:rPr>
              <w:t xml:space="preserve">Great Harwood, </w:t>
            </w:r>
            <w:r>
              <w:rPr>
                <w:color w:val="000000" w:themeColor="text1"/>
                <w:sz w:val="24"/>
                <w:szCs w:val="24"/>
              </w:rPr>
              <w:t>Hyndburn</w:t>
            </w:r>
            <w:r>
              <w:rPr>
                <w:color w:val="000000" w:themeColor="text1"/>
                <w:sz w:val="24"/>
                <w:szCs w:val="24"/>
              </w:rPr>
              <w:t xml:space="preserve">; Brierfield and Nelson North, </w:t>
            </w:r>
            <w:r>
              <w:rPr>
                <w:color w:val="000000" w:themeColor="text1"/>
                <w:sz w:val="24"/>
                <w:szCs w:val="24"/>
              </w:rPr>
              <w:t>Pendle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7E4488" w:rsidP="007E448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 xml:space="preserve">The following projects require additional funds 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due to unanticipated additional patching and kerbing works </w:t>
            </w:r>
            <w:r>
              <w:rPr>
                <w:bCs/>
                <w:color w:val="000000" w:themeColor="text1"/>
                <w:sz w:val="24"/>
                <w:szCs w:val="24"/>
              </w:rPr>
              <w:t>being identified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 and extra materials needed to complete the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works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. It is proposed that the additional funding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required is allocated from the 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bCs/>
                <w:color w:val="000000" w:themeColor="text1"/>
                <w:sz w:val="24"/>
                <w:szCs w:val="24"/>
              </w:rPr>
              <w:t>eleased funding detailed above:</w:t>
            </w:r>
          </w:p>
          <w:p w:rsidR="007E4488" w:rsidRPr="007A58DA" w:rsidP="007E4488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7E4488" w:rsidP="0063435E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St Hubert's Road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Cs/>
                <w:color w:val="000000" w:themeColor="text1"/>
                <w:sz w:val="24"/>
                <w:szCs w:val="24"/>
              </w:rPr>
              <w:t>Hyndburn)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– requires an additional £</w:t>
            </w:r>
            <w:r>
              <w:rPr>
                <w:bCs/>
                <w:color w:val="000000" w:themeColor="text1"/>
                <w:sz w:val="24"/>
                <w:szCs w:val="24"/>
              </w:rPr>
              <w:t>6,759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63435E" w:rsidP="0063435E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Cross Street/Hameldon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View (Hyndburn) – requires an additional £4,909                          </w:t>
            </w:r>
          </w:p>
          <w:p w:rsidR="0063435E" w:rsidRPr="007E4488" w:rsidP="0063435E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Taylor Street (Pendle) – requires an additional £3,851                                                         </w:t>
            </w:r>
          </w:p>
          <w:p w:rsidR="00374138" w:rsidRPr="000F482A" w:rsidP="0063435E">
            <w:pPr>
              <w:pStyle w:val="ListParagraph"/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4138" w:rsidRPr="00015D73" w:rsidP="000112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£30,725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138" w:rsidRPr="00015D73" w:rsidP="000112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£15,519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138" w:rsidRPr="00015D73" w:rsidP="000112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138" w:rsidRPr="00015D73" w:rsidP="000112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£46,244</w:t>
            </w:r>
          </w:p>
        </w:tc>
      </w:tr>
      <w:tr w:rsidTr="00C933ED">
        <w:tblPrEx>
          <w:tblW w:w="22397" w:type="dxa"/>
          <w:tblInd w:w="-572" w:type="dxa"/>
          <w:tblLayout w:type="fixed"/>
          <w:tblLook w:val="04A0"/>
        </w:tblPrEx>
        <w:trPr>
          <w:trHeight w:val="416"/>
        </w:trPr>
        <w:tc>
          <w:tcPr>
            <w:tcW w:w="567" w:type="dxa"/>
            <w:shd w:val="clear" w:color="auto" w:fill="auto"/>
          </w:tcPr>
          <w:p w:rsidR="002F61D2" w:rsidRPr="00184591" w:rsidP="002F61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61D2" w:rsidRPr="00184591" w:rsidP="002F61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61D2" w:rsidRPr="00184591" w:rsidP="002F61D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2F61D2" w:rsidRPr="00184591" w:rsidP="00C933E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Revised New Start 2016/17</w:t>
            </w: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 Footways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61D2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61D2">
              <w:rPr>
                <w:rFonts w:ascii="Calibri" w:hAnsi="Calibri"/>
                <w:b/>
                <w:color w:val="000000"/>
                <w:sz w:val="24"/>
                <w:szCs w:val="24"/>
              </w:rPr>
              <w:t>£804,851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1D2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61D2">
              <w:rPr>
                <w:rFonts w:ascii="Calibri" w:hAnsi="Calibri"/>
                <w:b/>
                <w:color w:val="000000"/>
                <w:sz w:val="24"/>
                <w:szCs w:val="24"/>
              </w:rPr>
              <w:t>£15,519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1D2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61D2">
              <w:rPr>
                <w:rFonts w:ascii="Calibri" w:hAnsi="Calibri"/>
                <w:b/>
                <w:color w:val="000000"/>
                <w:sz w:val="24"/>
                <w:szCs w:val="24"/>
              </w:rPr>
              <w:t>£222,334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61D2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61D2">
              <w:rPr>
                <w:rFonts w:ascii="Calibri" w:hAnsi="Calibri"/>
                <w:b/>
                <w:color w:val="000000"/>
                <w:sz w:val="24"/>
                <w:szCs w:val="24"/>
              </w:rPr>
              <w:t>£598,036</w:t>
            </w:r>
          </w:p>
        </w:tc>
      </w:tr>
      <w:tr w:rsidTr="00C933ED">
        <w:tblPrEx>
          <w:tblW w:w="22397" w:type="dxa"/>
          <w:tblInd w:w="-572" w:type="dxa"/>
          <w:tblLayout w:type="fixed"/>
          <w:tblLook w:val="04A0"/>
        </w:tblPrEx>
        <w:trPr>
          <w:trHeight w:val="416"/>
        </w:trPr>
        <w:tc>
          <w:tcPr>
            <w:tcW w:w="567" w:type="dxa"/>
            <w:shd w:val="clear" w:color="auto" w:fill="auto"/>
          </w:tcPr>
          <w:p w:rsidR="00D60D9D" w:rsidRPr="00184591" w:rsidP="002F61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0D9D" w:rsidRPr="00184591" w:rsidP="002F61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0D9D" w:rsidRPr="00184591" w:rsidP="002F61D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D60D9D" w:rsidP="00D60D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New Start 2015/16</w:t>
            </w: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 Footways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D9D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0D9D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D9D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0D9D" w:rsidRPr="002F61D2" w:rsidP="002F61D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Tr="00F548A8">
        <w:tblPrEx>
          <w:tblW w:w="22397" w:type="dxa"/>
          <w:tblInd w:w="-572" w:type="dxa"/>
          <w:tblLayout w:type="fixed"/>
          <w:tblLook w:val="04A0"/>
        </w:tblPrEx>
        <w:trPr>
          <w:trHeight w:val="1352"/>
        </w:trPr>
        <w:tc>
          <w:tcPr>
            <w:tcW w:w="567" w:type="dxa"/>
            <w:shd w:val="clear" w:color="auto" w:fill="auto"/>
          </w:tcPr>
          <w:p w:rsidR="00D60D9D" w:rsidRPr="00184591" w:rsidP="002F61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D60D9D" w:rsidRPr="00184591" w:rsidP="002F61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Shap Grove</w:t>
            </w:r>
          </w:p>
        </w:tc>
        <w:tc>
          <w:tcPr>
            <w:tcW w:w="2410" w:type="dxa"/>
            <w:shd w:val="clear" w:color="auto" w:fill="auto"/>
          </w:tcPr>
          <w:p w:rsidR="00D60D9D" w:rsidRPr="00D60D9D" w:rsidP="002F61D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5636A">
              <w:rPr>
                <w:color w:val="000000" w:themeColor="text1"/>
                <w:sz w:val="24"/>
                <w:szCs w:val="24"/>
              </w:rPr>
              <w:t>Burnley North East, Burnley</w:t>
            </w:r>
          </w:p>
        </w:tc>
        <w:tc>
          <w:tcPr>
            <w:tcW w:w="12190" w:type="dxa"/>
            <w:shd w:val="clear" w:color="auto" w:fill="auto"/>
          </w:tcPr>
          <w:p w:rsidR="009E5FA2" w:rsidRPr="00D60D9D" w:rsidP="00424D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0D9D">
              <w:rPr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color w:val="000000" w:themeColor="text1"/>
                <w:sz w:val="24"/>
                <w:szCs w:val="24"/>
              </w:rPr>
              <w:t>project</w:t>
            </w:r>
            <w:r w:rsidRPr="00D60D9D">
              <w:rPr>
                <w:color w:val="000000" w:themeColor="text1"/>
                <w:sz w:val="24"/>
                <w:szCs w:val="24"/>
              </w:rPr>
              <w:t xml:space="preserve"> was allocated £6</w:t>
            </w:r>
            <w:r>
              <w:rPr>
                <w:color w:val="000000" w:themeColor="text1"/>
                <w:sz w:val="24"/>
                <w:szCs w:val="24"/>
              </w:rPr>
              <w:t xml:space="preserve">,071 to resurface part of the footway. </w:t>
            </w:r>
            <w:r>
              <w:rPr>
                <w:bCs/>
                <w:color w:val="000000" w:themeColor="text1"/>
                <w:sz w:val="24"/>
                <w:szCs w:val="24"/>
              </w:rPr>
              <w:t>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upon commencing the </w:t>
            </w:r>
            <w:r>
              <w:rPr>
                <w:bCs/>
                <w:color w:val="000000" w:themeColor="text1"/>
                <w:sz w:val="24"/>
                <w:szCs w:val="24"/>
              </w:rPr>
              <w:t>work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it was identified that the area had significantly deteriorated since it was </w:t>
            </w:r>
            <w:r>
              <w:rPr>
                <w:bCs/>
                <w:color w:val="000000" w:themeColor="text1"/>
                <w:sz w:val="24"/>
                <w:szCs w:val="24"/>
              </w:rPr>
              <w:t>first assessed and a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larger area of work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is 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necessary to be able to co</w:t>
            </w:r>
            <w:r>
              <w:rPr>
                <w:bCs/>
                <w:color w:val="000000" w:themeColor="text1"/>
                <w:sz w:val="24"/>
                <w:szCs w:val="24"/>
              </w:rPr>
              <w:t>m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plete the project. It is proposed that the additional funding required is allocated from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>
              <w:rPr>
                <w:color w:val="000000" w:themeColor="text1"/>
                <w:sz w:val="24"/>
                <w:szCs w:val="24"/>
              </w:rPr>
              <w:t>he unallocated bud</w:t>
            </w:r>
            <w:r>
              <w:rPr>
                <w:color w:val="000000" w:themeColor="text1"/>
                <w:sz w:val="24"/>
                <w:szCs w:val="24"/>
              </w:rPr>
              <w:t xml:space="preserve">get in the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0D9D" w:rsidRPr="009E5FA2" w:rsidP="002F61D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5FA2">
              <w:rPr>
                <w:rFonts w:ascii="Calibri" w:hAnsi="Calibri"/>
                <w:color w:val="000000"/>
                <w:sz w:val="24"/>
                <w:szCs w:val="24"/>
              </w:rPr>
              <w:t>£6,071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D9D" w:rsidRPr="009E5FA2" w:rsidP="002F61D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5FA2">
              <w:rPr>
                <w:rFonts w:ascii="Calibri" w:hAnsi="Calibri"/>
                <w:color w:val="000000"/>
                <w:sz w:val="24"/>
                <w:szCs w:val="24"/>
              </w:rPr>
              <w:t>£7,870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D9D" w:rsidRPr="009E5FA2" w:rsidP="002F61D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5FA2">
              <w:rPr>
                <w:rFonts w:ascii="Calibri" w:hAnsi="Calibri"/>
                <w:color w:val="000000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D9D" w:rsidRPr="009E5FA2" w:rsidP="002F61D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5FA2">
              <w:rPr>
                <w:rFonts w:ascii="Calibri" w:hAnsi="Calibri"/>
                <w:color w:val="000000"/>
                <w:sz w:val="24"/>
                <w:szCs w:val="24"/>
              </w:rPr>
              <w:t>£13,941</w:t>
            </w:r>
          </w:p>
        </w:tc>
      </w:tr>
      <w:tr w:rsidTr="00C933ED">
        <w:tblPrEx>
          <w:tblW w:w="22397" w:type="dxa"/>
          <w:tblInd w:w="-572" w:type="dxa"/>
          <w:tblLayout w:type="fixed"/>
          <w:tblLook w:val="04A0"/>
        </w:tblPrEx>
        <w:trPr>
          <w:trHeight w:val="416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P="009E5F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Revised New Start 2015/16</w:t>
            </w: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 Footways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2F61D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£6,071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2F61D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£7,870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2F61D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2F61D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£13,941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08"/>
        </w:trPr>
        <w:tc>
          <w:tcPr>
            <w:tcW w:w="567" w:type="dxa"/>
            <w:shd w:val="clear" w:color="auto" w:fill="auto"/>
          </w:tcPr>
          <w:p w:rsidR="00015D73" w:rsidRPr="00184591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15D73" w:rsidRPr="00184591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5D73" w:rsidRPr="00184591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015D73" w:rsidRPr="00184591" w:rsidP="00015D73">
            <w:pPr>
              <w:rPr>
                <w:color w:val="000000" w:themeColor="text1"/>
                <w:sz w:val="24"/>
                <w:szCs w:val="24"/>
              </w:rPr>
            </w:pPr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2013/14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Urban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989"/>
        </w:trPr>
        <w:tc>
          <w:tcPr>
            <w:tcW w:w="567" w:type="dxa"/>
            <w:shd w:val="clear" w:color="auto" w:fill="auto"/>
          </w:tcPr>
          <w:p w:rsidR="00015D73" w:rsidRPr="00184591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015D73" w:rsidRPr="00184591" w:rsidP="00015D7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Paradise Street</w:t>
            </w:r>
          </w:p>
        </w:tc>
        <w:tc>
          <w:tcPr>
            <w:tcW w:w="2410" w:type="dxa"/>
            <w:shd w:val="clear" w:color="auto" w:fill="auto"/>
          </w:tcPr>
          <w:p w:rsidR="00015D73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</w:t>
            </w:r>
            <w:r>
              <w:rPr>
                <w:color w:val="000000" w:themeColor="text1"/>
                <w:sz w:val="24"/>
                <w:szCs w:val="24"/>
              </w:rPr>
              <w:t>rington South,</w:t>
            </w:r>
          </w:p>
          <w:p w:rsidR="00B8160C" w:rsidRPr="00184591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Hyndburn </w:t>
            </w:r>
          </w:p>
        </w:tc>
        <w:tc>
          <w:tcPr>
            <w:tcW w:w="12190" w:type="dxa"/>
            <w:shd w:val="clear" w:color="auto" w:fill="auto"/>
          </w:tcPr>
          <w:p w:rsidR="00015D73" w:rsidRPr="00B8160C" w:rsidP="00424D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160C">
              <w:rPr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color w:val="000000" w:themeColor="text1"/>
                <w:sz w:val="24"/>
                <w:szCs w:val="24"/>
              </w:rPr>
              <w:t xml:space="preserve">project </w:t>
            </w:r>
            <w:r w:rsidRPr="00B8160C">
              <w:rPr>
                <w:color w:val="000000" w:themeColor="text1"/>
                <w:sz w:val="24"/>
                <w:szCs w:val="24"/>
              </w:rPr>
              <w:t xml:space="preserve">was </w:t>
            </w:r>
            <w:r>
              <w:rPr>
                <w:color w:val="000000" w:themeColor="text1"/>
                <w:sz w:val="24"/>
                <w:szCs w:val="24"/>
              </w:rPr>
              <w:t>delivered in 2016.</w:t>
            </w:r>
            <w:r w:rsidRPr="00B8160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Pr="00B8160C">
              <w:rPr>
                <w:color w:val="000000" w:themeColor="text1"/>
                <w:sz w:val="24"/>
                <w:szCs w:val="24"/>
              </w:rPr>
              <w:t>owever</w:t>
            </w:r>
            <w:r>
              <w:rPr>
                <w:color w:val="000000" w:themeColor="text1"/>
                <w:sz w:val="24"/>
                <w:szCs w:val="24"/>
              </w:rPr>
              <w:t>, final</w:t>
            </w:r>
            <w:r>
              <w:rPr>
                <w:color w:val="000000" w:themeColor="text1"/>
                <w:sz w:val="24"/>
                <w:szCs w:val="24"/>
              </w:rPr>
              <w:t xml:space="preserve"> costs have now been established and the project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requires </w:t>
            </w:r>
            <w:r>
              <w:rPr>
                <w:color w:val="000000" w:themeColor="text1"/>
                <w:sz w:val="24"/>
                <w:szCs w:val="24"/>
              </w:rPr>
              <w:t xml:space="preserve">a further £6,201. It is proposed that </w:t>
            </w:r>
            <w:r>
              <w:rPr>
                <w:color w:val="000000" w:themeColor="text1"/>
                <w:sz w:val="24"/>
                <w:szCs w:val="24"/>
              </w:rPr>
              <w:t>this funding is</w:t>
            </w:r>
            <w:r>
              <w:rPr>
                <w:color w:val="000000" w:themeColor="text1"/>
                <w:sz w:val="24"/>
                <w:szCs w:val="24"/>
              </w:rPr>
              <w:t xml:space="preserve"> allocated from the unallocated budget in the 2015/16 </w:t>
            </w:r>
            <w:r w:rsidRPr="005C6660">
              <w:rPr>
                <w:color w:val="000000" w:themeColor="text1"/>
                <w:sz w:val="24"/>
                <w:szCs w:val="24"/>
              </w:rPr>
              <w:t xml:space="preserve">New Start Urban </w:t>
            </w:r>
            <w:r w:rsidRPr="005C6660">
              <w:rPr>
                <w:rFonts w:cs="Arial"/>
                <w:color w:val="000000" w:themeColor="text1"/>
                <w:sz w:val="24"/>
                <w:szCs w:val="24"/>
              </w:rPr>
              <w:t>Unclassified Roads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£15,600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£6,201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£21,801</w:t>
            </w:r>
          </w:p>
        </w:tc>
      </w:tr>
      <w:tr w:rsidTr="00F548A8">
        <w:tblPrEx>
          <w:tblW w:w="22397" w:type="dxa"/>
          <w:tblInd w:w="-572" w:type="dxa"/>
          <w:tblLayout w:type="fixed"/>
          <w:tblLook w:val="04A0"/>
        </w:tblPrEx>
        <w:trPr>
          <w:trHeight w:val="446"/>
        </w:trPr>
        <w:tc>
          <w:tcPr>
            <w:tcW w:w="567" w:type="dxa"/>
            <w:shd w:val="clear" w:color="auto" w:fill="auto"/>
          </w:tcPr>
          <w:p w:rsidR="0066088E" w:rsidP="006608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088E" w:rsidP="0066088E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088E" w:rsidP="006608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66088E" w:rsidRPr="00B8160C" w:rsidP="00F548A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 w:rsidRPr="007401BF">
              <w:rPr>
                <w:b/>
                <w:color w:val="000000" w:themeColor="text1"/>
                <w:sz w:val="24"/>
                <w:szCs w:val="24"/>
              </w:rPr>
              <w:t xml:space="preserve">New </w:t>
            </w:r>
            <w:r w:rsidRPr="007401BF">
              <w:rPr>
                <w:b/>
                <w:color w:val="000000" w:themeColor="text1"/>
                <w:sz w:val="24"/>
                <w:szCs w:val="24"/>
              </w:rPr>
              <w:t>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2013/14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Urban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8E" w:rsidRPr="0066088E" w:rsidP="006608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£15,600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88E" w:rsidRPr="0066088E" w:rsidP="006608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£6,201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88E" w:rsidRPr="0066088E" w:rsidP="006608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88E" w:rsidRPr="0066088E" w:rsidP="006608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£21,801</w:t>
            </w:r>
          </w:p>
        </w:tc>
      </w:tr>
    </w:tbl>
    <w:p w:rsidR="009E5FA2">
      <w:r>
        <w:br w:type="page"/>
      </w:r>
    </w:p>
    <w:tbl>
      <w:tblPr>
        <w:tblStyle w:val="TableGrid"/>
        <w:tblW w:w="22397" w:type="dxa"/>
        <w:tblInd w:w="-572" w:type="dxa"/>
        <w:tblLayout w:type="fixed"/>
        <w:tblLook w:val="04A0"/>
      </w:tblPr>
      <w:tblGrid>
        <w:gridCol w:w="567"/>
        <w:gridCol w:w="1418"/>
        <w:gridCol w:w="2410"/>
        <w:gridCol w:w="12190"/>
        <w:gridCol w:w="1418"/>
        <w:gridCol w:w="1559"/>
        <w:gridCol w:w="1134"/>
        <w:gridCol w:w="1701"/>
      </w:tblGrid>
      <w:tr w:rsidTr="00F71A47">
        <w:tblPrEx>
          <w:tblW w:w="22397" w:type="dxa"/>
          <w:tblInd w:w="-572" w:type="dxa"/>
          <w:tblLayout w:type="fixed"/>
          <w:tblLook w:val="04A0"/>
        </w:tblPrEx>
        <w:trPr>
          <w:trHeight w:val="25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br w:type="page"/>
            </w:r>
            <w:r w:rsidRPr="00F67EA6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5FA2" w:rsidRPr="00F67EA6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Tr="00F548A8">
        <w:tblPrEx>
          <w:tblW w:w="22397" w:type="dxa"/>
          <w:tblInd w:w="-572" w:type="dxa"/>
          <w:tblLayout w:type="fixed"/>
          <w:tblLook w:val="04A0"/>
        </w:tblPrEx>
        <w:trPr>
          <w:trHeight w:val="374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184591" w:rsidP="00F548A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2016/17 Urban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Tr="00495773">
        <w:tblPrEx>
          <w:tblW w:w="22397" w:type="dxa"/>
          <w:tblInd w:w="-572" w:type="dxa"/>
          <w:tblLayout w:type="fixed"/>
          <w:tblLook w:val="04A0"/>
        </w:tblPrEx>
        <w:trPr>
          <w:trHeight w:val="737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Highbury Road East</w:t>
            </w: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269C1">
              <w:rPr>
                <w:color w:val="000000" w:themeColor="text1"/>
                <w:sz w:val="24"/>
                <w:szCs w:val="24"/>
              </w:rPr>
              <w:t>St Annes North, Fylde</w:t>
            </w:r>
          </w:p>
        </w:tc>
        <w:tc>
          <w:tcPr>
            <w:tcW w:w="12190" w:type="dxa"/>
            <w:shd w:val="clear" w:color="auto" w:fill="auto"/>
          </w:tcPr>
          <w:p w:rsidR="009E5FA2" w:rsidRPr="00184591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This project was allocated £</w:t>
            </w:r>
            <w:r>
              <w:rPr>
                <w:bCs/>
                <w:color w:val="000000" w:themeColor="text1"/>
                <w:sz w:val="24"/>
                <w:szCs w:val="24"/>
              </w:rPr>
              <w:t>69,356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. However, the works have been completed and the actual costs were less at £</w:t>
            </w:r>
            <w:r>
              <w:rPr>
                <w:bCs/>
                <w:color w:val="000000" w:themeColor="text1"/>
                <w:sz w:val="24"/>
                <w:szCs w:val="24"/>
              </w:rPr>
              <w:t>50,150.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£</w:t>
            </w:r>
            <w:r>
              <w:rPr>
                <w:bCs/>
                <w:color w:val="000000" w:themeColor="text1"/>
                <w:sz w:val="24"/>
                <w:szCs w:val="24"/>
              </w:rPr>
              <w:t>50,150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and release the remaining funding back into the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69,356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D269C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9C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D269C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9C1">
              <w:rPr>
                <w:color w:val="000000" w:themeColor="text1"/>
                <w:sz w:val="24"/>
                <w:szCs w:val="24"/>
              </w:rPr>
              <w:t>£19,206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D269C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9C1">
              <w:rPr>
                <w:color w:val="000000" w:themeColor="text1"/>
                <w:sz w:val="24"/>
                <w:szCs w:val="24"/>
              </w:rPr>
              <w:t>£50,150</w:t>
            </w:r>
          </w:p>
        </w:tc>
      </w:tr>
      <w:tr w:rsidTr="00C933ED">
        <w:tblPrEx>
          <w:tblW w:w="22397" w:type="dxa"/>
          <w:tblInd w:w="-572" w:type="dxa"/>
          <w:tblLayout w:type="fixed"/>
          <w:tblLook w:val="04A0"/>
        </w:tblPrEx>
        <w:trPr>
          <w:trHeight w:val="407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D269C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184591" w:rsidP="009E5FA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2016/17 Urban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66088E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bCs/>
                <w:color w:val="000000" w:themeColor="text1"/>
                <w:sz w:val="24"/>
                <w:szCs w:val="24"/>
              </w:rPr>
              <w:t>£69,356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66088E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66088E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£19,206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66088E" w:rsidP="009E5F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088E">
              <w:rPr>
                <w:b/>
                <w:color w:val="000000" w:themeColor="text1"/>
                <w:sz w:val="24"/>
                <w:szCs w:val="24"/>
              </w:rPr>
              <w:t>£50,150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00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  <w:r w:rsidRPr="00D108CD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New Start 2016/17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Deterioration Prevention Fund</w:t>
            </w:r>
          </w:p>
        </w:tc>
      </w:tr>
      <w:tr w:rsidTr="005615D6">
        <w:tblPrEx>
          <w:tblW w:w="22397" w:type="dxa"/>
          <w:tblInd w:w="-572" w:type="dxa"/>
          <w:tblLayout w:type="fixed"/>
          <w:tblLook w:val="04A0"/>
        </w:tblPrEx>
        <w:trPr>
          <w:trHeight w:val="805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Backsands Lane</w:t>
            </w: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933ED">
              <w:rPr>
                <w:color w:val="000000" w:themeColor="text1"/>
                <w:sz w:val="24"/>
                <w:szCs w:val="24"/>
              </w:rPr>
              <w:t xml:space="preserve">Wyre Rural </w:t>
            </w:r>
            <w:r w:rsidRPr="00C933ED">
              <w:rPr>
                <w:color w:val="000000" w:themeColor="text1"/>
                <w:sz w:val="24"/>
                <w:szCs w:val="24"/>
              </w:rPr>
              <w:t>Central, Wyre</w:t>
            </w:r>
          </w:p>
        </w:tc>
        <w:tc>
          <w:tcPr>
            <w:tcW w:w="12190" w:type="dxa"/>
            <w:shd w:val="clear" w:color="auto" w:fill="auto"/>
          </w:tcPr>
          <w:p w:rsidR="009E5FA2" w:rsidRPr="00D108CD" w:rsidP="009E5F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This project was allocated £</w:t>
            </w:r>
            <w:r>
              <w:rPr>
                <w:bCs/>
                <w:color w:val="000000" w:themeColor="text1"/>
                <w:sz w:val="24"/>
                <w:szCs w:val="24"/>
              </w:rPr>
              <w:t>99,955.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However, the works have been completed and the actual costs were less at £</w:t>
            </w:r>
            <w:r>
              <w:rPr>
                <w:bCs/>
                <w:color w:val="000000" w:themeColor="text1"/>
                <w:sz w:val="24"/>
                <w:szCs w:val="24"/>
              </w:rPr>
              <w:t>65,504.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£</w:t>
            </w:r>
            <w:r>
              <w:rPr>
                <w:bCs/>
                <w:color w:val="000000" w:themeColor="text1"/>
                <w:sz w:val="24"/>
                <w:szCs w:val="24"/>
              </w:rPr>
              <w:t>65,504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and release the remaining funding back into the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99,</w:t>
            </w:r>
            <w:r>
              <w:rPr>
                <w:bCs/>
                <w:color w:val="000000" w:themeColor="text1"/>
                <w:sz w:val="24"/>
                <w:szCs w:val="24"/>
              </w:rPr>
              <w:t>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£34,451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184591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65,504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Ribble Valley North East, Ribble Valley South West, Ribble Valley; Morecambe North, Lancaster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9E5FA2" w:rsidP="009E5F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>The following projects require additional fund</w:t>
            </w:r>
            <w:r>
              <w:rPr>
                <w:color w:val="000000" w:themeColor="text1"/>
                <w:sz w:val="24"/>
                <w:szCs w:val="24"/>
              </w:rPr>
              <w:t>ing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>due to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the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 unanticipated additional </w:t>
            </w:r>
            <w:r>
              <w:rPr>
                <w:bCs/>
                <w:color w:val="000000" w:themeColor="text1"/>
                <w:sz w:val="24"/>
                <w:szCs w:val="24"/>
              </w:rPr>
              <w:t>resurfacing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 works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needed as the conditions of these roads have 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>significantly deteriorated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since they were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 first assessed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 It is proposed that the additional funding required is allocated from the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monies released in the above Backsands Lane project:</w:t>
            </w:r>
          </w:p>
          <w:p w:rsidR="009E5FA2" w:rsidRPr="00C933ED" w:rsidP="009E5FA2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9E5FA2" w:rsidRPr="00C933ED" w:rsidP="009E5FA2">
            <w:pPr>
              <w:pStyle w:val="ListParagraph"/>
              <w:numPr>
                <w:ilvl w:val="0"/>
                <w:numId w:val="32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C933ED">
              <w:rPr>
                <w:bCs/>
                <w:color w:val="000000" w:themeColor="text1"/>
                <w:sz w:val="24"/>
                <w:szCs w:val="24"/>
              </w:rPr>
              <w:t xml:space="preserve">Bolton By Bowland Road </w:t>
            </w:r>
            <w:r>
              <w:rPr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bCs/>
                <w:color w:val="000000" w:themeColor="text1"/>
                <w:sz w:val="24"/>
                <w:szCs w:val="24"/>
              </w:rPr>
              <w:t>Ribble Valley) – requires an additional £</w:t>
            </w:r>
            <w:r w:rsidRPr="00C933ED">
              <w:rPr>
                <w:bCs/>
                <w:color w:val="000000" w:themeColor="text1"/>
                <w:sz w:val="24"/>
                <w:szCs w:val="24"/>
              </w:rPr>
              <w:t xml:space="preserve">9,512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</w:t>
            </w:r>
          </w:p>
          <w:p w:rsidR="009E5FA2" w:rsidRPr="00C933ED" w:rsidP="009E5FA2">
            <w:pPr>
              <w:pStyle w:val="ListParagraph"/>
              <w:numPr>
                <w:ilvl w:val="0"/>
                <w:numId w:val="32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C933ED">
              <w:rPr>
                <w:bCs/>
                <w:color w:val="000000" w:themeColor="text1"/>
                <w:sz w:val="24"/>
                <w:szCs w:val="24"/>
              </w:rPr>
              <w:t xml:space="preserve">Hest Bank Lane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(Lancaster) – requires an additional £7,923                                 </w:t>
            </w:r>
          </w:p>
          <w:p w:rsidR="009E5FA2" w:rsidRPr="00C933ED" w:rsidP="009E5FA2">
            <w:pPr>
              <w:pStyle w:val="ListParagraph"/>
              <w:numPr>
                <w:ilvl w:val="0"/>
                <w:numId w:val="32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C933ED">
              <w:rPr>
                <w:bCs/>
                <w:color w:val="000000" w:themeColor="text1"/>
                <w:sz w:val="24"/>
                <w:szCs w:val="24"/>
              </w:rPr>
              <w:t>St Marys Gardens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(Ribble Valley) – requires an additional £5,205                    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33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E5FA2" w:rsidRPr="005615D6" w:rsidP="009E5FA2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933ED">
              <w:rPr>
                <w:bCs/>
                <w:color w:val="000000" w:themeColor="text1"/>
                <w:sz w:val="24"/>
                <w:szCs w:val="24"/>
              </w:rPr>
              <w:t>£55,914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3ED">
              <w:rPr>
                <w:color w:val="000000" w:themeColor="text1"/>
                <w:sz w:val="24"/>
                <w:szCs w:val="24"/>
              </w:rPr>
              <w:t>£22,640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3ED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3ED">
              <w:rPr>
                <w:color w:val="000000" w:themeColor="text1"/>
                <w:sz w:val="24"/>
                <w:szCs w:val="24"/>
              </w:rPr>
              <w:t>£78,554</w:t>
            </w:r>
          </w:p>
        </w:tc>
      </w:tr>
      <w:tr w:rsidTr="00F71A47">
        <w:tblPrEx>
          <w:tblW w:w="22397" w:type="dxa"/>
          <w:tblInd w:w="-572" w:type="dxa"/>
          <w:tblLayout w:type="fixed"/>
          <w:tblLook w:val="04A0"/>
        </w:tblPrEx>
        <w:trPr>
          <w:trHeight w:val="372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67EA6" w:rsidP="009E5FA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Revised </w:t>
            </w:r>
            <w:r w:rsidRPr="00D108CD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New Start 2016/17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Deterioration Prevention Fund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B20F37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20F37">
              <w:rPr>
                <w:rFonts w:ascii="Calibri" w:hAnsi="Calibri"/>
                <w:b/>
                <w:color w:val="000000"/>
                <w:sz w:val="24"/>
                <w:szCs w:val="24"/>
              </w:rPr>
              <w:t>£155,869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B20F37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20F37">
              <w:rPr>
                <w:rFonts w:ascii="Calibri" w:hAnsi="Calibri"/>
                <w:b/>
                <w:color w:val="000000"/>
                <w:sz w:val="24"/>
                <w:szCs w:val="24"/>
              </w:rPr>
              <w:t>£22,640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B20F37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20F37">
              <w:rPr>
                <w:rFonts w:ascii="Calibri" w:hAnsi="Calibri"/>
                <w:b/>
                <w:color w:val="000000"/>
                <w:sz w:val="24"/>
                <w:szCs w:val="24"/>
              </w:rPr>
              <w:t>£34,451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B20F37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20F37">
              <w:rPr>
                <w:rFonts w:ascii="Calibri" w:hAnsi="Calibri"/>
                <w:b/>
                <w:color w:val="000000"/>
                <w:sz w:val="24"/>
                <w:szCs w:val="24"/>
              </w:rPr>
              <w:t>£144,058</w:t>
            </w:r>
          </w:p>
        </w:tc>
      </w:tr>
      <w:tr w:rsidTr="00F71A47">
        <w:tblPrEx>
          <w:tblW w:w="22397" w:type="dxa"/>
          <w:tblInd w:w="-572" w:type="dxa"/>
          <w:tblLayout w:type="fixed"/>
          <w:tblLook w:val="04A0"/>
        </w:tblPrEx>
        <w:trPr>
          <w:trHeight w:val="404"/>
        </w:trPr>
        <w:tc>
          <w:tcPr>
            <w:tcW w:w="567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184591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184591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P="009E5FA2"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2016/17 Rural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</w:tr>
      <w:tr w:rsidTr="005B0AB8">
        <w:tblPrEx>
          <w:tblW w:w="22397" w:type="dxa"/>
          <w:tblInd w:w="-572" w:type="dxa"/>
          <w:tblLayout w:type="fixed"/>
          <w:tblLook w:val="04A0"/>
        </w:tblPrEx>
        <w:trPr>
          <w:trHeight w:val="1068"/>
        </w:trPr>
        <w:tc>
          <w:tcPr>
            <w:tcW w:w="567" w:type="dxa"/>
            <w:shd w:val="clear" w:color="auto" w:fill="auto"/>
          </w:tcPr>
          <w:p w:rsidR="009E5FA2" w:rsidRPr="00F67EA6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9E5FA2" w:rsidRPr="007221B4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221B4">
              <w:rPr>
                <w:bCs/>
                <w:color w:val="000000" w:themeColor="text1"/>
                <w:sz w:val="24"/>
                <w:szCs w:val="24"/>
              </w:rPr>
              <w:t>Land</w:t>
            </w:r>
            <w:r>
              <w:rPr>
                <w:bCs/>
                <w:color w:val="000000" w:themeColor="text1"/>
                <w:sz w:val="24"/>
                <w:szCs w:val="24"/>
              </w:rPr>
              <w:t>g</w:t>
            </w:r>
            <w:r w:rsidRPr="007221B4">
              <w:rPr>
                <w:bCs/>
                <w:color w:val="000000" w:themeColor="text1"/>
                <w:sz w:val="24"/>
                <w:szCs w:val="24"/>
              </w:rPr>
              <w:t xml:space="preserve">ate </w:t>
            </w:r>
          </w:p>
        </w:tc>
        <w:tc>
          <w:tcPr>
            <w:tcW w:w="2410" w:type="dxa"/>
            <w:shd w:val="clear" w:color="auto" w:fill="auto"/>
          </w:tcPr>
          <w:p w:rsidR="009E5FA2" w:rsidRPr="007221B4" w:rsidP="009E5FA2">
            <w:pPr>
              <w:rPr>
                <w:color w:val="000000" w:themeColor="text1"/>
                <w:sz w:val="24"/>
                <w:szCs w:val="24"/>
              </w:rPr>
            </w:pPr>
            <w:r w:rsidRPr="007221B4">
              <w:rPr>
                <w:color w:val="000000" w:themeColor="text1"/>
                <w:sz w:val="24"/>
                <w:szCs w:val="24"/>
              </w:rPr>
              <w:t>Whitworth and Bacup, Rossendale</w:t>
            </w:r>
          </w:p>
        </w:tc>
        <w:tc>
          <w:tcPr>
            <w:tcW w:w="12190" w:type="dxa"/>
            <w:shd w:val="clear" w:color="auto" w:fill="auto"/>
          </w:tcPr>
          <w:p w:rsidR="009E5FA2" w:rsidRPr="007221B4" w:rsidP="00E21C3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221B4">
              <w:rPr>
                <w:bCs/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bCs/>
                <w:color w:val="000000" w:themeColor="text1"/>
                <w:sz w:val="24"/>
                <w:szCs w:val="24"/>
              </w:rPr>
              <w:t>project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was originally allocated £30,619 for retread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work</w:t>
            </w:r>
            <w:r>
              <w:rPr>
                <w:bCs/>
                <w:color w:val="000000" w:themeColor="text1"/>
                <w:sz w:val="24"/>
                <w:szCs w:val="24"/>
              </w:rPr>
              <w:t>. However</w:t>
            </w:r>
            <w:r>
              <w:rPr>
                <w:bCs/>
                <w:color w:val="000000" w:themeColor="text1"/>
                <w:sz w:val="24"/>
                <w:szCs w:val="24"/>
              </w:rPr>
              <w:t>, the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work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was then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programmed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to be completed </w:t>
            </w:r>
            <w:r>
              <w:rPr>
                <w:bCs/>
                <w:color w:val="000000" w:themeColor="text1"/>
                <w:sz w:val="24"/>
                <w:szCs w:val="24"/>
              </w:rPr>
              <w:t>in conjunction with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 drainage </w:t>
            </w:r>
            <w:r>
              <w:rPr>
                <w:bCs/>
                <w:color w:val="000000" w:themeColor="text1"/>
                <w:sz w:val="24"/>
                <w:szCs w:val="24"/>
              </w:rPr>
              <w:t>project, the budget for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which included the </w:t>
            </w:r>
            <w:r>
              <w:rPr>
                <w:bCs/>
                <w:color w:val="000000" w:themeColor="text1"/>
                <w:sz w:val="24"/>
                <w:szCs w:val="24"/>
              </w:rPr>
              <w:t>cost of carriageway repairs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As such is it proposed that this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retread project </w:t>
            </w:r>
            <w:r>
              <w:rPr>
                <w:bCs/>
                <w:color w:val="000000" w:themeColor="text1"/>
                <w:sz w:val="24"/>
                <w:szCs w:val="24"/>
              </w:rPr>
              <w:t>is cancelled and the budget is released bac</w:t>
            </w:r>
            <w:r>
              <w:rPr>
                <w:bCs/>
                <w:color w:val="000000" w:themeColor="text1"/>
                <w:sz w:val="24"/>
                <w:szCs w:val="24"/>
              </w:rPr>
              <w:t>k into the p</w:t>
            </w:r>
            <w:r>
              <w:rPr>
                <w:bCs/>
                <w:color w:val="000000" w:themeColor="text1"/>
                <w:sz w:val="24"/>
                <w:szCs w:val="24"/>
              </w:rPr>
              <w:t>rogramme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F67EA6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£30,619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F67EA6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933ED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F67EA6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£30,619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F67EA6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933ED">
              <w:rPr>
                <w:color w:val="000000" w:themeColor="text1"/>
                <w:sz w:val="24"/>
                <w:szCs w:val="24"/>
              </w:rPr>
              <w:t>£0</w:t>
            </w:r>
          </w:p>
        </w:tc>
      </w:tr>
      <w:tr w:rsidTr="005B0AB8">
        <w:tblPrEx>
          <w:tblW w:w="22397" w:type="dxa"/>
          <w:tblInd w:w="-572" w:type="dxa"/>
          <w:tblLayout w:type="fixed"/>
          <w:tblLook w:val="04A0"/>
        </w:tblPrEx>
        <w:trPr>
          <w:trHeight w:val="1068"/>
        </w:trPr>
        <w:tc>
          <w:tcPr>
            <w:tcW w:w="567" w:type="dxa"/>
            <w:shd w:val="clear" w:color="auto" w:fill="auto"/>
          </w:tcPr>
          <w:p w:rsidR="009E5FA2" w:rsidRPr="00F67EA6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9E5FA2" w:rsidRPr="007221B4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</w:p>
        </w:tc>
        <w:tc>
          <w:tcPr>
            <w:tcW w:w="2410" w:type="dxa"/>
            <w:shd w:val="clear" w:color="auto" w:fill="auto"/>
          </w:tcPr>
          <w:p w:rsidR="009E5FA2" w:rsidRPr="007221B4" w:rsidP="00DE35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Lancaster Rural East</w:t>
            </w:r>
            <w:r>
              <w:rPr>
                <w:color w:val="000000" w:themeColor="text1"/>
                <w:sz w:val="24"/>
                <w:szCs w:val="24"/>
              </w:rPr>
              <w:t>, Lancaster; South Ribble West, South Ribble</w:t>
            </w:r>
          </w:p>
        </w:tc>
        <w:tc>
          <w:tcPr>
            <w:tcW w:w="12190" w:type="dxa"/>
            <w:shd w:val="clear" w:color="auto" w:fill="auto"/>
          </w:tcPr>
          <w:p w:rsidR="009E5FA2" w:rsidRPr="00F67EA6" w:rsidP="009E5F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>The following projects have been completed with actual costs less than the a</w:t>
            </w:r>
            <w:r>
              <w:rPr>
                <w:color w:val="000000" w:themeColor="text1"/>
                <w:sz w:val="24"/>
                <w:szCs w:val="24"/>
              </w:rPr>
              <w:t>pproved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budget due to efficiencies realised on site. It is therefore proposed to release the remaining </w:t>
            </w:r>
            <w:r>
              <w:rPr>
                <w:color w:val="000000" w:themeColor="text1"/>
                <w:sz w:val="24"/>
                <w:szCs w:val="24"/>
              </w:rPr>
              <w:t>funding back into the 2016/17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programme:</w:t>
            </w:r>
          </w:p>
          <w:p w:rsidR="009E5FA2" w:rsidRPr="002928FD" w:rsidP="009E5FA2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9E5FA2" w:rsidRPr="003B342C" w:rsidP="009E5FA2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B342C">
              <w:rPr>
                <w:bCs/>
                <w:color w:val="000000" w:themeColor="text1"/>
                <w:sz w:val="24"/>
                <w:szCs w:val="24"/>
              </w:rPr>
              <w:t>Between Park House to Lower Houses (Lancaster) – relea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sing £7,235              </w:t>
            </w:r>
          </w:p>
          <w:p w:rsidR="009E5FA2" w:rsidRPr="00C81856" w:rsidP="009E5FA2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B342C">
              <w:rPr>
                <w:bCs/>
                <w:color w:val="000000" w:themeColor="text1"/>
                <w:sz w:val="24"/>
                <w:szCs w:val="24"/>
              </w:rPr>
              <w:t>Cragg</w:t>
            </w:r>
            <w:r w:rsidRPr="003B342C">
              <w:rPr>
                <w:bCs/>
                <w:color w:val="000000" w:themeColor="text1"/>
                <w:sz w:val="24"/>
                <w:szCs w:val="24"/>
              </w:rPr>
              <w:t xml:space="preserve"> Road (Lancaster) – releasing £8,075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  <w:p w:rsidR="009E5FA2" w:rsidRPr="003B342C" w:rsidP="009E5FA2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Moss House Lane (South Ribble) – releasing £12,694                                        </w:t>
            </w:r>
          </w:p>
          <w:p w:rsidR="009E5FA2" w:rsidRPr="00ED4494" w:rsidP="009E5FA2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£105,547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£28,004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£77,543</w:t>
            </w:r>
          </w:p>
        </w:tc>
      </w:tr>
      <w:tr w:rsidTr="00495773">
        <w:tblPrEx>
          <w:tblW w:w="22397" w:type="dxa"/>
          <w:tblInd w:w="-572" w:type="dxa"/>
          <w:tblLayout w:type="fixed"/>
          <w:tblLook w:val="04A0"/>
        </w:tblPrEx>
        <w:trPr>
          <w:trHeight w:val="1209"/>
        </w:trPr>
        <w:tc>
          <w:tcPr>
            <w:tcW w:w="567" w:type="dxa"/>
            <w:shd w:val="clear" w:color="auto" w:fill="auto"/>
          </w:tcPr>
          <w:p w:rsidR="009E5FA2" w:rsidRPr="00F67EA6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9E5FA2" w:rsidRPr="007221B4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Harterbeck</w:t>
            </w:r>
          </w:p>
        </w:tc>
        <w:tc>
          <w:tcPr>
            <w:tcW w:w="2410" w:type="dxa"/>
            <w:shd w:val="clear" w:color="auto" w:fill="auto"/>
          </w:tcPr>
          <w:p w:rsidR="009E5FA2" w:rsidRPr="007221B4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Lancaster Rural East, </w:t>
            </w:r>
            <w:r>
              <w:rPr>
                <w:bCs/>
                <w:color w:val="000000" w:themeColor="text1"/>
                <w:sz w:val="24"/>
                <w:szCs w:val="24"/>
              </w:rPr>
              <w:t>Lancaster</w:t>
            </w:r>
          </w:p>
        </w:tc>
        <w:tc>
          <w:tcPr>
            <w:tcW w:w="12190" w:type="dxa"/>
            <w:shd w:val="clear" w:color="auto" w:fill="auto"/>
          </w:tcPr>
          <w:p w:rsidR="009E5FA2" w:rsidP="00E21C3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221B4">
              <w:rPr>
                <w:bCs/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bCs/>
                <w:color w:val="000000" w:themeColor="text1"/>
                <w:sz w:val="24"/>
                <w:szCs w:val="24"/>
              </w:rPr>
              <w:t>project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was originally allocated £30,623 for overlay works along this road. 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the area has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significantly deteriorated since it was assessed and a much larger area of works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is 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necessary to be able to co</w:t>
            </w:r>
            <w:r>
              <w:rPr>
                <w:bCs/>
                <w:color w:val="000000" w:themeColor="text1"/>
                <w:sz w:val="24"/>
                <w:szCs w:val="24"/>
              </w:rPr>
              <w:t>m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plete the project. It is propose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d that the additional funding required is allocated from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above released funding.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£30,623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£23,328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C933ED" w:rsidP="009E5F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£53,951</w:t>
            </w:r>
          </w:p>
        </w:tc>
      </w:tr>
      <w:tr w:rsidTr="00F71A47">
        <w:tblPrEx>
          <w:tblW w:w="22397" w:type="dxa"/>
          <w:tblInd w:w="-572" w:type="dxa"/>
          <w:tblLayout w:type="fixed"/>
          <w:tblLook w:val="04A0"/>
        </w:tblPrEx>
        <w:trPr>
          <w:trHeight w:val="367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</w:tcPr>
          <w:p w:rsidR="009E5FA2" w:rsidRPr="00F67EA6" w:rsidP="009E5FA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2016/17 Rural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93706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37062">
              <w:rPr>
                <w:rFonts w:ascii="Calibri" w:hAnsi="Calibri"/>
                <w:b/>
                <w:color w:val="000000"/>
                <w:sz w:val="24"/>
                <w:szCs w:val="24"/>
              </w:rPr>
              <w:t>£166,789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93706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37062">
              <w:rPr>
                <w:rFonts w:ascii="Calibri" w:hAnsi="Calibri"/>
                <w:b/>
                <w:color w:val="000000"/>
                <w:sz w:val="24"/>
                <w:szCs w:val="24"/>
              </w:rPr>
              <w:t>£23,328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93706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37062">
              <w:rPr>
                <w:rFonts w:ascii="Calibri" w:hAnsi="Calibri"/>
                <w:b/>
                <w:color w:val="000000"/>
                <w:sz w:val="24"/>
                <w:szCs w:val="24"/>
              </w:rPr>
              <w:t>£58,623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937062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37062">
              <w:rPr>
                <w:rFonts w:ascii="Calibri" w:hAnsi="Calibri"/>
                <w:b/>
                <w:color w:val="000000"/>
                <w:sz w:val="24"/>
                <w:szCs w:val="24"/>
              </w:rPr>
              <w:t>£131,494</w:t>
            </w:r>
          </w:p>
        </w:tc>
      </w:tr>
      <w:tr w:rsidTr="000B0C18">
        <w:tblPrEx>
          <w:tblW w:w="22397" w:type="dxa"/>
          <w:tblInd w:w="-572" w:type="dxa"/>
          <w:tblLayout w:type="fixed"/>
          <w:tblLook w:val="04A0"/>
        </w:tblPrEx>
        <w:trPr>
          <w:trHeight w:val="39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RPr="00F07022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2015/16 Rural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</w:tr>
      <w:tr w:rsidTr="00293AEF">
        <w:tblPrEx>
          <w:tblW w:w="22397" w:type="dxa"/>
          <w:tblInd w:w="-572" w:type="dxa"/>
          <w:tblLayout w:type="fixed"/>
          <w:tblLook w:val="04A0"/>
        </w:tblPrEx>
        <w:trPr>
          <w:trHeight w:val="1265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Stack </w:t>
            </w:r>
            <w:r>
              <w:rPr>
                <w:bCs/>
                <w:color w:val="000000" w:themeColor="text1"/>
                <w:sz w:val="24"/>
                <w:szCs w:val="24"/>
              </w:rPr>
              <w:t>Lane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 w:rsidRPr="007221B4">
              <w:rPr>
                <w:color w:val="000000" w:themeColor="text1"/>
                <w:sz w:val="24"/>
                <w:szCs w:val="24"/>
              </w:rPr>
              <w:t>Whitworth and Bacup, Rossendale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07022" w:rsidP="0087322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221B4">
              <w:rPr>
                <w:bCs/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bCs/>
                <w:color w:val="000000" w:themeColor="text1"/>
                <w:sz w:val="24"/>
                <w:szCs w:val="24"/>
              </w:rPr>
              <w:t>project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was originally allocated £22,370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for carriageway resurfacing works. 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the area has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67EA6">
              <w:rPr>
                <w:bCs/>
                <w:color w:val="000000" w:themeColor="text1"/>
                <w:sz w:val="24"/>
                <w:szCs w:val="24"/>
              </w:rPr>
              <w:t xml:space="preserve">significantly </w:t>
            </w:r>
            <w:r w:rsidRPr="00F42E66">
              <w:rPr>
                <w:bCs/>
                <w:color w:val="000000" w:themeColor="text1"/>
                <w:sz w:val="24"/>
                <w:szCs w:val="24"/>
              </w:rPr>
              <w:t xml:space="preserve">deteriorated since it was first assessed and additional drainage works </w:t>
            </w:r>
            <w:r>
              <w:rPr>
                <w:bCs/>
                <w:color w:val="000000" w:themeColor="text1"/>
                <w:sz w:val="24"/>
                <w:szCs w:val="24"/>
              </w:rPr>
              <w:t>are</w:t>
            </w:r>
            <w:r w:rsidRPr="00F42E66">
              <w:rPr>
                <w:bCs/>
                <w:color w:val="000000" w:themeColor="text1"/>
                <w:sz w:val="24"/>
                <w:szCs w:val="24"/>
              </w:rPr>
              <w:t xml:space="preserve"> also required to be able to complete the project.  It is proposed that the additional funding required is allocated from the unallocated </w:t>
            </w:r>
            <w:r>
              <w:rPr>
                <w:bCs/>
                <w:color w:val="000000" w:themeColor="text1"/>
                <w:sz w:val="24"/>
                <w:szCs w:val="24"/>
              </w:rPr>
              <w:t>budget</w:t>
            </w:r>
            <w:r w:rsidRPr="00F42E66">
              <w:rPr>
                <w:bCs/>
                <w:color w:val="000000" w:themeColor="text1"/>
                <w:sz w:val="24"/>
                <w:szCs w:val="24"/>
              </w:rPr>
              <w:t xml:space="preserve"> in the 2015/16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14696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696B">
              <w:rPr>
                <w:bCs/>
                <w:color w:val="000000" w:themeColor="text1"/>
                <w:sz w:val="24"/>
                <w:szCs w:val="24"/>
              </w:rPr>
              <w:t>£22,370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14696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696B">
              <w:rPr>
                <w:bCs/>
                <w:color w:val="000000" w:themeColor="text1"/>
                <w:sz w:val="24"/>
                <w:szCs w:val="24"/>
              </w:rPr>
              <w:t>£30,619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14696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696B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14696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696B">
              <w:rPr>
                <w:bCs/>
                <w:color w:val="000000" w:themeColor="text1"/>
                <w:sz w:val="24"/>
                <w:szCs w:val="24"/>
              </w:rPr>
              <w:t>£52,989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07022" w:rsidP="009E5FA2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 w:rsidRPr="007401BF">
              <w:rPr>
                <w:b/>
                <w:color w:val="000000" w:themeColor="text1"/>
                <w:sz w:val="24"/>
                <w:szCs w:val="24"/>
              </w:rPr>
              <w:t>New Start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2015/16 Rural </w:t>
            </w:r>
            <w:r w:rsidRPr="007401BF">
              <w:rPr>
                <w:rFonts w:cs="Arial"/>
                <w:b/>
                <w:color w:val="000000" w:themeColor="text1"/>
                <w:sz w:val="24"/>
                <w:szCs w:val="24"/>
              </w:rPr>
              <w:t>Unclassified Roads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293AEF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93AEF">
              <w:rPr>
                <w:b/>
                <w:bCs/>
                <w:color w:val="000000" w:themeColor="text1"/>
                <w:sz w:val="24"/>
                <w:szCs w:val="24"/>
              </w:rPr>
              <w:t>£22,370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293AEF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93AEF">
              <w:rPr>
                <w:b/>
                <w:bCs/>
                <w:color w:val="000000" w:themeColor="text1"/>
                <w:sz w:val="24"/>
                <w:szCs w:val="24"/>
              </w:rPr>
              <w:t>£30,619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293AEF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93AEF"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293AEF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93AEF">
              <w:rPr>
                <w:b/>
                <w:bCs/>
                <w:color w:val="000000" w:themeColor="text1"/>
                <w:sz w:val="24"/>
                <w:szCs w:val="24"/>
              </w:rPr>
              <w:t>£52,989</w:t>
            </w:r>
          </w:p>
        </w:tc>
      </w:tr>
    </w:tbl>
    <w:p w:rsidR="00F71A47">
      <w:r>
        <w:br w:type="page"/>
      </w:r>
    </w:p>
    <w:tbl>
      <w:tblPr>
        <w:tblStyle w:val="TableGrid"/>
        <w:tblW w:w="22397" w:type="dxa"/>
        <w:tblInd w:w="-572" w:type="dxa"/>
        <w:tblLayout w:type="fixed"/>
        <w:tblLook w:val="04A0"/>
      </w:tblPr>
      <w:tblGrid>
        <w:gridCol w:w="567"/>
        <w:gridCol w:w="1418"/>
        <w:gridCol w:w="2410"/>
        <w:gridCol w:w="12190"/>
        <w:gridCol w:w="1418"/>
        <w:gridCol w:w="1559"/>
        <w:gridCol w:w="1134"/>
        <w:gridCol w:w="1701"/>
      </w:tblGrid>
      <w:tr w:rsidTr="00A141B0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Tr="00D22912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A141B0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1B0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41B0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A141B0" w:rsidRPr="00866ACB" w:rsidP="00A141B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2016/17 DfT Incentive Fund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  <w:r w:rsidRPr="005615D6">
              <w:rPr>
                <w:rFonts w:ascii="Arial" w:hAnsi="Arial" w:cs="Arial"/>
                <w:b/>
                <w:bCs/>
                <w:vanish/>
                <w:color w:val="777777"/>
                <w:sz w:val="23"/>
                <w:szCs w:val="23"/>
              </w:rPr>
              <w:t xml:space="preserve"> Snodworth Road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Ribble Valley South West, Ribble Valley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67EA6" w:rsidP="009E5F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 xml:space="preserve">The following projects have been </w:t>
            </w:r>
            <w:r>
              <w:rPr>
                <w:color w:val="000000" w:themeColor="text1"/>
                <w:sz w:val="24"/>
                <w:szCs w:val="24"/>
              </w:rPr>
              <w:t xml:space="preserve">completed with actual costs </w:t>
            </w:r>
            <w:r w:rsidRPr="00F67EA6">
              <w:rPr>
                <w:color w:val="000000" w:themeColor="text1"/>
                <w:sz w:val="24"/>
                <w:szCs w:val="24"/>
              </w:rPr>
              <w:t>less than their a</w:t>
            </w:r>
            <w:r>
              <w:rPr>
                <w:color w:val="000000" w:themeColor="text1"/>
                <w:sz w:val="24"/>
                <w:szCs w:val="24"/>
              </w:rPr>
              <w:t>pproved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budget due to efficiencies realised on site. It is therefore proposed to release the remaining </w:t>
            </w:r>
            <w:r>
              <w:rPr>
                <w:color w:val="000000" w:themeColor="text1"/>
                <w:sz w:val="24"/>
                <w:szCs w:val="24"/>
              </w:rPr>
              <w:t xml:space="preserve">funding back into </w:t>
            </w:r>
            <w:r>
              <w:rPr>
                <w:color w:val="000000" w:themeColor="text1"/>
                <w:sz w:val="24"/>
                <w:szCs w:val="24"/>
              </w:rPr>
              <w:t>the 2016/17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programme:</w:t>
            </w:r>
          </w:p>
          <w:p w:rsidR="009E5FA2" w:rsidRPr="00F96894" w:rsidP="009E5FA2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9E5FA2" w:rsidP="009E5FA2">
            <w:pPr>
              <w:pStyle w:val="ListParagraph"/>
              <w:numPr>
                <w:ilvl w:val="0"/>
                <w:numId w:val="34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F96894">
              <w:rPr>
                <w:bCs/>
                <w:color w:val="000000" w:themeColor="text1"/>
                <w:sz w:val="24"/>
                <w:szCs w:val="24"/>
              </w:rPr>
              <w:t>Snodworth Road (Ribble Valley) – releasing £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4,211        </w:t>
            </w:r>
          </w:p>
          <w:p w:rsidR="009E5FA2" w:rsidRPr="00E116BA" w:rsidP="009E5FA2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16BA">
              <w:rPr>
                <w:bCs/>
                <w:color w:val="000000" w:themeColor="text1"/>
                <w:sz w:val="24"/>
                <w:szCs w:val="24"/>
              </w:rPr>
              <w:t xml:space="preserve">Whinney Lane (Ribble Valley) – releasing £21,186           </w:t>
            </w:r>
            <w:r w:rsidRPr="00E116BA">
              <w:rPr>
                <w:rFonts w:ascii="Arial" w:hAnsi="Arial" w:cs="Arial"/>
                <w:b/>
                <w:bCs/>
                <w:vanish/>
                <w:color w:val="777777"/>
                <w:sz w:val="23"/>
                <w:szCs w:val="23"/>
              </w:rPr>
              <w:t>Snodworth Road</w:t>
            </w:r>
          </w:p>
          <w:p w:rsidR="009E5FA2" w:rsidRPr="00E116BA" w:rsidP="009E5FA2">
            <w:pPr>
              <w:pStyle w:val="ListParagrap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£54,017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£25,397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£28,620</w:t>
            </w:r>
          </w:p>
        </w:tc>
      </w:tr>
      <w:tr w:rsidTr="007C1BF7">
        <w:tblPrEx>
          <w:tblW w:w="22397" w:type="dxa"/>
          <w:tblInd w:w="-572" w:type="dxa"/>
          <w:tblLayout w:type="fixed"/>
          <w:tblLook w:val="04A0"/>
        </w:tblPrEx>
        <w:trPr>
          <w:trHeight w:val="1308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Halton Road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Lancaster Rural East, Lancaster</w:t>
            </w:r>
          </w:p>
        </w:tc>
        <w:tc>
          <w:tcPr>
            <w:tcW w:w="12190" w:type="dxa"/>
            <w:shd w:val="clear" w:color="auto" w:fill="auto"/>
          </w:tcPr>
          <w:p w:rsidR="009E5FA2" w:rsidP="00663AB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21B4">
              <w:rPr>
                <w:bCs/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bCs/>
                <w:color w:val="000000" w:themeColor="text1"/>
                <w:sz w:val="24"/>
                <w:szCs w:val="24"/>
              </w:rPr>
              <w:t>project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was originally allocated £35,335 for carriageway improvements. However</w:t>
            </w:r>
            <w:r>
              <w:rPr>
                <w:bCs/>
                <w:color w:val="000000" w:themeColor="text1"/>
                <w:sz w:val="24"/>
                <w:szCs w:val="24"/>
              </w:rPr>
              <w:t>, the area has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significantly deteriorated since it was assessed and a much larger area of works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is 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necessary to be able to complete the project safely. It is proposed that the additiona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l funding required is allocated from the </w:t>
            </w:r>
            <w:r>
              <w:rPr>
                <w:bCs/>
                <w:color w:val="000000" w:themeColor="text1"/>
                <w:sz w:val="24"/>
                <w:szCs w:val="24"/>
              </w:rPr>
              <w:t>funding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released in the above two </w:t>
            </w:r>
            <w:r>
              <w:rPr>
                <w:bCs/>
                <w:color w:val="000000" w:themeColor="text1"/>
                <w:sz w:val="24"/>
                <w:szCs w:val="24"/>
              </w:rPr>
              <w:t>projects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along with £4,738 from the unallocated budget within the programme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£35,335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£30,135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866AC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6ACB">
              <w:rPr>
                <w:bCs/>
                <w:color w:val="000000" w:themeColor="text1"/>
                <w:sz w:val="24"/>
                <w:szCs w:val="24"/>
              </w:rPr>
              <w:t>£65,470</w:t>
            </w:r>
          </w:p>
        </w:tc>
      </w:tr>
      <w:tr w:rsidTr="007C1BF7">
        <w:tblPrEx>
          <w:tblW w:w="22397" w:type="dxa"/>
          <w:tblInd w:w="-572" w:type="dxa"/>
          <w:tblLayout w:type="fixed"/>
          <w:tblLook w:val="04A0"/>
        </w:tblPrEx>
        <w:trPr>
          <w:trHeight w:val="420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P="009E5FA2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2016/17 DfT Incentive Fund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926034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034">
              <w:rPr>
                <w:b/>
                <w:bCs/>
                <w:color w:val="000000" w:themeColor="text1"/>
                <w:sz w:val="24"/>
                <w:szCs w:val="24"/>
              </w:rPr>
              <w:t>£89,352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034">
              <w:rPr>
                <w:b/>
                <w:bCs/>
                <w:color w:val="000000" w:themeColor="text1"/>
                <w:sz w:val="24"/>
                <w:szCs w:val="24"/>
              </w:rPr>
              <w:t>£30,135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034">
              <w:rPr>
                <w:b/>
                <w:bCs/>
                <w:color w:val="000000" w:themeColor="text1"/>
                <w:sz w:val="24"/>
                <w:szCs w:val="24"/>
              </w:rPr>
              <w:t>£25,397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926034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6034">
              <w:rPr>
                <w:b/>
                <w:bCs/>
                <w:color w:val="000000" w:themeColor="text1"/>
                <w:sz w:val="24"/>
                <w:szCs w:val="24"/>
              </w:rPr>
              <w:t>£94,090</w:t>
            </w:r>
          </w:p>
        </w:tc>
      </w:tr>
      <w:tr w:rsidTr="000B0C1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RPr="00F07022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631DE">
              <w:rPr>
                <w:b/>
                <w:bCs/>
                <w:color w:val="000000" w:themeColor="text1"/>
                <w:sz w:val="24"/>
                <w:szCs w:val="24"/>
              </w:rPr>
              <w:t>New Start 2016/17 Local Priority Response Fund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Burnley Central West, Burnley Central  East, Burnley North East, Burnley; Pendle Hill, Pendle Rural, Brierfield and Nelson West, Pendle; Great Harwood, Rishton</w:t>
            </w:r>
            <w:r>
              <w:rPr>
                <w:color w:val="000000" w:themeColor="text1"/>
                <w:sz w:val="24"/>
                <w:szCs w:val="24"/>
              </w:rPr>
              <w:t xml:space="preserve"> and Clayton le Moors, Hyndburn; Mid Rossendale, Rossendale West, Rossendale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67EA6" w:rsidP="009E5F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>The following projects have been completed with actual costs less than their a</w:t>
            </w:r>
            <w:r>
              <w:rPr>
                <w:color w:val="000000" w:themeColor="text1"/>
                <w:sz w:val="24"/>
                <w:szCs w:val="24"/>
              </w:rPr>
              <w:t>pproved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budget due to efficiencies realised on site. It is therefore proposed to release the remaining </w:t>
            </w:r>
            <w:r>
              <w:rPr>
                <w:color w:val="000000" w:themeColor="text1"/>
                <w:sz w:val="24"/>
                <w:szCs w:val="24"/>
              </w:rPr>
              <w:t>funding back into the 2016/17</w:t>
            </w:r>
            <w:r w:rsidRPr="00F67EA6">
              <w:rPr>
                <w:color w:val="000000" w:themeColor="text1"/>
                <w:sz w:val="24"/>
                <w:szCs w:val="24"/>
              </w:rPr>
              <w:t xml:space="preserve"> programme:</w:t>
            </w:r>
          </w:p>
          <w:p w:rsidR="009E5FA2" w:rsidRPr="00F67EA6" w:rsidP="009E5FA2">
            <w:pPr>
              <w:rPr>
                <w:color w:val="000000" w:themeColor="text1"/>
                <w:sz w:val="10"/>
                <w:szCs w:val="10"/>
              </w:rPr>
            </w:pPr>
          </w:p>
          <w:p w:rsidR="009E5FA2" w:rsidRPr="001E654A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1E654A">
              <w:rPr>
                <w:color w:val="000000" w:themeColor="text1"/>
                <w:sz w:val="24"/>
                <w:szCs w:val="24"/>
              </w:rPr>
              <w:t>Ightenhill Park Lane 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(Burnley)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releasing </w:t>
            </w:r>
            <w:r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 xml:space="preserve">5,243      </w:t>
            </w:r>
          </w:p>
          <w:p w:rsidR="009E5FA2" w:rsidRPr="001E654A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1E654A">
              <w:rPr>
                <w:color w:val="000000" w:themeColor="text1"/>
                <w:sz w:val="24"/>
                <w:szCs w:val="24"/>
              </w:rPr>
              <w:t>Old Hall Street Carriageway Resurfacin</w:t>
            </w:r>
            <w:r w:rsidRPr="001E654A">
              <w:rPr>
                <w:color w:val="000000" w:themeColor="text1"/>
                <w:sz w:val="24"/>
                <w:szCs w:val="24"/>
              </w:rPr>
              <w:t>g</w:t>
            </w:r>
            <w:r>
              <w:rPr>
                <w:color w:val="000000" w:themeColor="text1"/>
                <w:sz w:val="24"/>
                <w:szCs w:val="24"/>
              </w:rPr>
              <w:t xml:space="preserve"> (Burnley)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releasing </w:t>
            </w:r>
            <w:r>
              <w:rPr>
                <w:color w:val="000000" w:themeColor="text1"/>
                <w:sz w:val="24"/>
                <w:szCs w:val="24"/>
              </w:rPr>
              <w:t>£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13,609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1E654A">
              <w:rPr>
                <w:color w:val="000000" w:themeColor="text1"/>
                <w:sz w:val="24"/>
                <w:szCs w:val="24"/>
              </w:rPr>
              <w:t>Ormerod Road 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(Burnley)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releasing </w:t>
            </w:r>
            <w:r>
              <w:rPr>
                <w:color w:val="000000" w:themeColor="text1"/>
                <w:sz w:val="24"/>
                <w:szCs w:val="24"/>
              </w:rPr>
              <w:t>£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13,618     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Mitella Street </w:t>
            </w:r>
            <w:r w:rsidRPr="001E654A">
              <w:rPr>
                <w:color w:val="000000" w:themeColor="text1"/>
                <w:sz w:val="24"/>
                <w:szCs w:val="24"/>
              </w:rPr>
              <w:t>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(Burnley)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releasing </w:t>
            </w:r>
            <w:r>
              <w:rPr>
                <w:color w:val="000000" w:themeColor="text1"/>
                <w:sz w:val="24"/>
                <w:szCs w:val="24"/>
              </w:rPr>
              <w:t xml:space="preserve">£9,035            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Reedley Road </w:t>
            </w:r>
            <w:r w:rsidRPr="001E654A">
              <w:rPr>
                <w:color w:val="000000" w:themeColor="text1"/>
                <w:sz w:val="24"/>
                <w:szCs w:val="24"/>
              </w:rPr>
              <w:t>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(Pendle)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g </w:t>
            </w:r>
            <w:r>
              <w:rPr>
                <w:color w:val="000000" w:themeColor="text1"/>
                <w:sz w:val="24"/>
                <w:szCs w:val="24"/>
              </w:rPr>
              <w:t xml:space="preserve">£25,340           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950763">
              <w:rPr>
                <w:color w:val="000000" w:themeColor="text1"/>
                <w:sz w:val="24"/>
                <w:szCs w:val="24"/>
              </w:rPr>
              <w:t>Leonard Street Footway Improvements (Pendle) – releasing £</w:t>
            </w:r>
            <w:r>
              <w:rPr>
                <w:color w:val="000000" w:themeColor="text1"/>
                <w:sz w:val="24"/>
                <w:szCs w:val="24"/>
              </w:rPr>
              <w:t xml:space="preserve">6,396             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Every Street </w:t>
            </w:r>
            <w:r w:rsidRPr="00950763">
              <w:rPr>
                <w:color w:val="000000" w:themeColor="text1"/>
                <w:sz w:val="24"/>
                <w:szCs w:val="24"/>
              </w:rPr>
              <w:t>Footway Improvements (Pendle) – releasing £</w:t>
            </w:r>
            <w:r>
              <w:rPr>
                <w:color w:val="000000" w:themeColor="text1"/>
                <w:sz w:val="24"/>
                <w:szCs w:val="24"/>
              </w:rPr>
              <w:t xml:space="preserve">5,279                  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Ash Street </w:t>
            </w:r>
            <w:r w:rsidRPr="001E654A">
              <w:rPr>
                <w:color w:val="000000" w:themeColor="text1"/>
                <w:sz w:val="24"/>
                <w:szCs w:val="24"/>
              </w:rPr>
              <w:t>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(Hyndburn)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releasing </w:t>
            </w:r>
            <w:r>
              <w:rPr>
                <w:color w:val="000000" w:themeColor="text1"/>
                <w:sz w:val="24"/>
                <w:szCs w:val="24"/>
              </w:rPr>
              <w:t xml:space="preserve">£14,676             </w:t>
            </w:r>
          </w:p>
          <w:p w:rsidR="009E5FA2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Goodshaw Avenue Phase 2 </w:t>
            </w:r>
            <w:r w:rsidRPr="001E654A">
              <w:rPr>
                <w:color w:val="000000" w:themeColor="text1"/>
                <w:sz w:val="24"/>
                <w:szCs w:val="24"/>
              </w:rPr>
              <w:t>Carriageway Resurfacing</w:t>
            </w:r>
            <w:r>
              <w:rPr>
                <w:color w:val="000000" w:themeColor="text1"/>
                <w:sz w:val="24"/>
                <w:szCs w:val="24"/>
              </w:rPr>
              <w:t xml:space="preserve"> (Rossendale)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 – releasing </w:t>
            </w:r>
            <w:r>
              <w:rPr>
                <w:color w:val="000000" w:themeColor="text1"/>
                <w:sz w:val="24"/>
                <w:szCs w:val="24"/>
              </w:rPr>
              <w:t xml:space="preserve">£12,894               </w:t>
            </w:r>
          </w:p>
          <w:p w:rsidR="009E5FA2" w:rsidRPr="00A25269" w:rsidP="009E5FA2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794974">
              <w:rPr>
                <w:color w:val="000000" w:themeColor="text1"/>
                <w:sz w:val="24"/>
                <w:szCs w:val="24"/>
              </w:rPr>
              <w:t>Jubilee Road Carriageway Resurfacing</w:t>
            </w: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Rossendale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) – </w:t>
            </w:r>
            <w:r w:rsidRPr="001E654A">
              <w:rPr>
                <w:color w:val="000000" w:themeColor="text1"/>
                <w:sz w:val="24"/>
                <w:szCs w:val="24"/>
              </w:rPr>
              <w:t xml:space="preserve">releasing </w:t>
            </w:r>
            <w:r>
              <w:rPr>
                <w:color w:val="000000" w:themeColor="text1"/>
                <w:sz w:val="24"/>
                <w:szCs w:val="24"/>
              </w:rPr>
              <w:t xml:space="preserve">£13,999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9E5FA2" w:rsidRPr="00B542A8" w:rsidP="009E5FA2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21E4B">
              <w:rPr>
                <w:rFonts w:ascii="Calibri" w:hAnsi="Calibri"/>
                <w:bCs/>
                <w:color w:val="000000"/>
                <w:sz w:val="24"/>
                <w:szCs w:val="24"/>
              </w:rPr>
              <w:t>£362,219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21E4B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21E4B">
              <w:rPr>
                <w:rFonts w:ascii="Calibri" w:hAnsi="Calibri"/>
                <w:bCs/>
                <w:color w:val="000000"/>
                <w:sz w:val="24"/>
                <w:szCs w:val="24"/>
              </w:rPr>
              <w:t>£120,089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21E4B">
              <w:rPr>
                <w:rFonts w:ascii="Calibri" w:hAnsi="Calibri"/>
                <w:color w:val="000000"/>
                <w:sz w:val="24"/>
                <w:szCs w:val="24"/>
              </w:rPr>
              <w:t>£242,130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EA6">
              <w:rPr>
                <w:bCs/>
                <w:color w:val="000000" w:themeColor="text1"/>
                <w:sz w:val="24"/>
                <w:szCs w:val="24"/>
              </w:rPr>
              <w:t>Various as described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Ribble Valley South West, Ribble Valley; Mid Rossendale, Rossendale East, Rossendale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811AF5" w:rsidP="009E5F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A6">
              <w:rPr>
                <w:color w:val="000000" w:themeColor="text1"/>
                <w:sz w:val="24"/>
                <w:szCs w:val="24"/>
              </w:rPr>
              <w:t>The following projects require additional funds</w:t>
            </w:r>
            <w:r>
              <w:rPr>
                <w:color w:val="000000" w:themeColor="text1"/>
                <w:sz w:val="24"/>
                <w:szCs w:val="24"/>
              </w:rPr>
              <w:t xml:space="preserve"> as 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the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locations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have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sig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nificantly deteriorated since </w:t>
            </w:r>
            <w:r>
              <w:rPr>
                <w:bCs/>
                <w:color w:val="000000" w:themeColor="text1"/>
                <w:sz w:val="24"/>
                <w:szCs w:val="24"/>
              </w:rPr>
              <w:t>the initial assessment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was completed 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and a much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larger area</w:t>
            </w:r>
            <w:r>
              <w:rPr>
                <w:bCs/>
                <w:color w:val="000000" w:themeColor="text1"/>
                <w:sz w:val="24"/>
                <w:szCs w:val="24"/>
              </w:rPr>
              <w:t>s of work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are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 xml:space="preserve"> necessary to be able to complete the </w:t>
            </w:r>
            <w:r>
              <w:rPr>
                <w:bCs/>
                <w:color w:val="000000" w:themeColor="text1"/>
                <w:sz w:val="24"/>
                <w:szCs w:val="24"/>
              </w:rPr>
              <w:t>projects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66ACB">
              <w:rPr>
                <w:bCs/>
                <w:color w:val="000000" w:themeColor="text1"/>
                <w:sz w:val="24"/>
                <w:szCs w:val="24"/>
              </w:rPr>
              <w:t>It is proposed that the additional funding required is allocated from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above released funding.</w:t>
            </w:r>
          </w:p>
          <w:p w:rsidR="009E5FA2" w:rsidRPr="007A58DA" w:rsidP="009E5FA2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9E5FA2" w:rsidP="009E5FA2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Hillcrest Footway Resurfacing (Ribble Valley) – requires an additional £34,25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8                        </w:t>
            </w:r>
          </w:p>
          <w:p w:rsidR="009E5FA2" w:rsidP="009E5FA2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94974">
              <w:rPr>
                <w:bCs/>
                <w:color w:val="000000" w:themeColor="text1"/>
                <w:sz w:val="24"/>
                <w:szCs w:val="24"/>
              </w:rPr>
              <w:t>Rectory Close Carriageway Resurfacing (Rossendale)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requires an additional £30,925            </w:t>
            </w:r>
          </w:p>
          <w:p w:rsidR="009E5FA2" w:rsidP="009E5FA2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94974">
              <w:rPr>
                <w:color w:val="000000" w:themeColor="text1"/>
                <w:sz w:val="24"/>
                <w:szCs w:val="24"/>
              </w:rPr>
              <w:t>School Street Carriageway Resurfacing</w:t>
            </w: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 xml:space="preserve"> </w:t>
            </w:r>
            <w:r w:rsidRPr="00794974">
              <w:rPr>
                <w:bCs/>
                <w:color w:val="000000" w:themeColor="text1"/>
                <w:sz w:val="24"/>
                <w:szCs w:val="24"/>
              </w:rPr>
              <w:t>(Rossendale)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bCs/>
                <w:color w:val="000000" w:themeColor="text1"/>
                <w:sz w:val="24"/>
                <w:szCs w:val="24"/>
              </w:rPr>
              <w:t>requires an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additional £8,596             </w:t>
            </w:r>
          </w:p>
          <w:p w:rsidR="009E5FA2" w:rsidRPr="00B542A8" w:rsidP="009E5FA2">
            <w:pPr>
              <w:jc w:val="both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21E4B">
              <w:rPr>
                <w:rFonts w:ascii="Calibri" w:hAnsi="Calibri"/>
                <w:bCs/>
                <w:color w:val="000000"/>
                <w:sz w:val="24"/>
                <w:szCs w:val="24"/>
              </w:rPr>
              <w:t>£90,242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21E4B">
              <w:rPr>
                <w:rFonts w:ascii="Calibri" w:hAnsi="Calibri"/>
                <w:bCs/>
                <w:color w:val="000000"/>
                <w:sz w:val="24"/>
                <w:szCs w:val="24"/>
              </w:rPr>
              <w:t>£73,779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21E4B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121E4B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21E4B">
              <w:rPr>
                <w:bCs/>
                <w:color w:val="000000" w:themeColor="text1"/>
                <w:sz w:val="24"/>
                <w:szCs w:val="24"/>
              </w:rPr>
              <w:t>£164,021</w:t>
            </w:r>
          </w:p>
        </w:tc>
      </w:tr>
      <w:tr w:rsidTr="00B542A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67EA6" w:rsidP="009E5FA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Revised </w:t>
            </w:r>
            <w:r w:rsidRPr="003631DE">
              <w:rPr>
                <w:b/>
                <w:bCs/>
                <w:color w:val="000000" w:themeColor="text1"/>
                <w:sz w:val="24"/>
                <w:szCs w:val="24"/>
              </w:rPr>
              <w:t>New Start 2016/17 Local Priority Response Fund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542A8">
              <w:rPr>
                <w:rFonts w:ascii="Calibri" w:hAnsi="Calibri"/>
                <w:b/>
                <w:color w:val="000000"/>
                <w:sz w:val="24"/>
                <w:szCs w:val="24"/>
              </w:rPr>
              <w:t>£452,461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542A8">
              <w:rPr>
                <w:rFonts w:ascii="Calibri" w:hAnsi="Calibri"/>
                <w:b/>
                <w:color w:val="000000"/>
                <w:sz w:val="24"/>
                <w:szCs w:val="24"/>
              </w:rPr>
              <w:t>£73,779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542A8">
              <w:rPr>
                <w:rFonts w:ascii="Calibri" w:hAnsi="Calibri"/>
                <w:b/>
                <w:color w:val="000000"/>
                <w:sz w:val="24"/>
                <w:szCs w:val="24"/>
              </w:rPr>
              <w:t>£120,089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542A8">
              <w:rPr>
                <w:rFonts w:ascii="Calibri" w:hAnsi="Calibri"/>
                <w:b/>
                <w:color w:val="000000"/>
                <w:sz w:val="24"/>
                <w:szCs w:val="24"/>
              </w:rPr>
              <w:t>£406,151</w:t>
            </w:r>
          </w:p>
        </w:tc>
      </w:tr>
      <w:tr w:rsidTr="00B542A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A141B0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1B0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41B0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A141B0" w:rsidP="00A141B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2015/16 Cycling Safety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1B0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41B0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41B0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1B0" w:rsidRPr="00B542A8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Tr="00D22912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A141B0" w:rsidP="00A141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:rsidR="00A141B0" w:rsidRPr="00F67EA6" w:rsidP="00A141B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A0EAB">
              <w:rPr>
                <w:bCs/>
                <w:color w:val="000000" w:themeColor="text1"/>
                <w:sz w:val="24"/>
                <w:szCs w:val="24"/>
              </w:rPr>
              <w:t>Yarrow Valley Way, Coppull Road</w:t>
            </w:r>
            <w:r>
              <w:rPr>
                <w:bCs/>
                <w:color w:val="000000" w:themeColor="text1"/>
                <w:sz w:val="24"/>
                <w:szCs w:val="24"/>
              </w:rPr>
              <w:t>, and</w:t>
            </w:r>
            <w:r w:rsidRPr="00AA0EAB">
              <w:rPr>
                <w:bCs/>
                <w:color w:val="000000" w:themeColor="text1"/>
                <w:sz w:val="24"/>
                <w:szCs w:val="24"/>
              </w:rPr>
              <w:t xml:space="preserve"> Moor Road</w:t>
            </w:r>
          </w:p>
        </w:tc>
        <w:tc>
          <w:tcPr>
            <w:tcW w:w="2410" w:type="dxa"/>
            <w:shd w:val="clear" w:color="auto" w:fill="auto"/>
          </w:tcPr>
          <w:p w:rsidR="00A141B0" w:rsidRPr="0095078D" w:rsidP="00A141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Chorley South, Chorley </w:t>
            </w:r>
          </w:p>
        </w:tc>
        <w:tc>
          <w:tcPr>
            <w:tcW w:w="12190" w:type="dxa"/>
            <w:shd w:val="clear" w:color="auto" w:fill="auto"/>
          </w:tcPr>
          <w:p w:rsidR="00A141B0" w:rsidP="00A141B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This project was allocated £</w:t>
            </w:r>
            <w:r>
              <w:rPr>
                <w:bCs/>
                <w:color w:val="000000" w:themeColor="text1"/>
                <w:sz w:val="24"/>
                <w:szCs w:val="24"/>
              </w:rPr>
              <w:t>7,000.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However, the works have been completed and the actual costs were less at £</w:t>
            </w:r>
            <w:r>
              <w:rPr>
                <w:bCs/>
                <w:color w:val="000000" w:themeColor="text1"/>
                <w:sz w:val="24"/>
                <w:szCs w:val="24"/>
              </w:rPr>
              <w:t>1,430.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£</w:t>
            </w:r>
            <w:r>
              <w:rPr>
                <w:bCs/>
                <w:color w:val="000000" w:themeColor="text1"/>
                <w:sz w:val="24"/>
                <w:szCs w:val="24"/>
              </w:rPr>
              <w:t>1,430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and release the remaining funding back into the programme.</w:t>
            </w:r>
          </w:p>
          <w:p w:rsidR="00E065C9" w:rsidP="00E065C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1B0" w:rsidRPr="00AA0EAB" w:rsidP="00A141B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0EAB">
              <w:rPr>
                <w:bCs/>
                <w:color w:val="000000" w:themeColor="text1"/>
                <w:sz w:val="24"/>
                <w:szCs w:val="24"/>
              </w:rPr>
              <w:t>£7,000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1B0" w:rsidRPr="00AA0EAB" w:rsidP="00A141B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0EAB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1B0" w:rsidRPr="00AA0EAB" w:rsidP="00A141B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0EAB">
              <w:rPr>
                <w:bCs/>
                <w:color w:val="000000" w:themeColor="text1"/>
                <w:sz w:val="24"/>
                <w:szCs w:val="24"/>
              </w:rPr>
              <w:t>£5,570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1B0" w:rsidRPr="00AA0EAB" w:rsidP="00A141B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A0EAB">
              <w:rPr>
                <w:bCs/>
                <w:color w:val="000000" w:themeColor="text1"/>
                <w:sz w:val="24"/>
                <w:szCs w:val="24"/>
              </w:rPr>
              <w:t>£1,430</w:t>
            </w:r>
          </w:p>
        </w:tc>
      </w:tr>
      <w:tr w:rsidTr="00B542A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A141B0" w:rsidP="00A141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1B0" w:rsidRPr="00CD085D" w:rsidP="00A141B0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A141B0" w:rsidRPr="0095078D" w:rsidP="00A141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A141B0" w:rsidP="00A141B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2015/16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Cycling Safety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1B0" w:rsidRPr="00D60D9D" w:rsidP="00A141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D9D">
              <w:rPr>
                <w:b/>
                <w:bCs/>
                <w:color w:val="000000" w:themeColor="text1"/>
                <w:sz w:val="24"/>
                <w:szCs w:val="24"/>
              </w:rPr>
              <w:t>£7,000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1B0" w:rsidRPr="00D60D9D" w:rsidP="00A141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D9D"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1B0" w:rsidRPr="00D60D9D" w:rsidP="00A141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D9D">
              <w:rPr>
                <w:b/>
                <w:bCs/>
                <w:color w:val="000000" w:themeColor="text1"/>
                <w:sz w:val="24"/>
                <w:szCs w:val="24"/>
              </w:rPr>
              <w:t>£5,570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1B0" w:rsidRPr="00D60D9D" w:rsidP="00A141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D9D">
              <w:rPr>
                <w:b/>
                <w:bCs/>
                <w:color w:val="000000" w:themeColor="text1"/>
                <w:sz w:val="24"/>
                <w:szCs w:val="24"/>
              </w:rPr>
              <w:t>£1,430</w:t>
            </w:r>
          </w:p>
        </w:tc>
      </w:tr>
    </w:tbl>
    <w:p w:rsidR="00A141B0">
      <w:r>
        <w:br w:type="page"/>
      </w:r>
    </w:p>
    <w:tbl>
      <w:tblPr>
        <w:tblStyle w:val="TableGrid"/>
        <w:tblW w:w="22397" w:type="dxa"/>
        <w:tblInd w:w="-572" w:type="dxa"/>
        <w:tblLayout w:type="fixed"/>
        <w:tblLook w:val="04A0"/>
      </w:tblPr>
      <w:tblGrid>
        <w:gridCol w:w="567"/>
        <w:gridCol w:w="1418"/>
        <w:gridCol w:w="2410"/>
        <w:gridCol w:w="12190"/>
        <w:gridCol w:w="1418"/>
        <w:gridCol w:w="1559"/>
        <w:gridCol w:w="1134"/>
        <w:gridCol w:w="1701"/>
      </w:tblGrid>
      <w:tr w:rsidTr="004C3AE7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41B0" w:rsidRPr="00F67EA6" w:rsidP="00A14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Tr="000B0C1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RPr="00F07022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2015/16 Drainage</w:t>
            </w:r>
          </w:p>
        </w:tc>
      </w:tr>
      <w:tr w:rsidTr="0068691C">
        <w:tblPrEx>
          <w:tblW w:w="22397" w:type="dxa"/>
          <w:tblInd w:w="-572" w:type="dxa"/>
          <w:tblLayout w:type="fixed"/>
          <w:tblLook w:val="04A0"/>
        </w:tblPrEx>
        <w:trPr>
          <w:trHeight w:val="977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Marsh Lane, Cockerham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Lancaster Central, Lancaster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07022" w:rsidP="000A765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This project was allocated £</w:t>
            </w:r>
            <w:r>
              <w:rPr>
                <w:bCs/>
                <w:color w:val="000000" w:themeColor="text1"/>
                <w:sz w:val="24"/>
                <w:szCs w:val="24"/>
              </w:rPr>
              <w:t>45,000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. However, the works have been completed and the actual costs were less at £</w:t>
            </w:r>
            <w:r>
              <w:rPr>
                <w:bCs/>
                <w:color w:val="000000" w:themeColor="text1"/>
                <w:sz w:val="24"/>
                <w:szCs w:val="24"/>
              </w:rPr>
              <w:t>26,634.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£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26,634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and release the remaining funding back into the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drainage programme to support other </w:t>
            </w:r>
            <w:r>
              <w:rPr>
                <w:bCs/>
                <w:color w:val="000000" w:themeColor="text1"/>
                <w:sz w:val="24"/>
                <w:szCs w:val="24"/>
              </w:rPr>
              <w:t>projects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£45,000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£18,366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£26,634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07022" w:rsidP="009E5FA2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2015/16 Drainage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£45,000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£18,366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/>
                <w:bCs/>
                <w:color w:val="000000" w:themeColor="text1"/>
                <w:sz w:val="24"/>
                <w:szCs w:val="24"/>
              </w:rPr>
              <w:t>£26,634</w:t>
            </w:r>
          </w:p>
        </w:tc>
      </w:tr>
      <w:tr w:rsidTr="000B0C1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RPr="00F07022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2017/18 Drainage</w:t>
            </w:r>
          </w:p>
        </w:tc>
      </w:tr>
      <w:tr w:rsidTr="00CB7142">
        <w:tblPrEx>
          <w:tblW w:w="22397" w:type="dxa"/>
          <w:tblInd w:w="-572" w:type="dxa"/>
          <w:tblLayout w:type="fixed"/>
          <w:tblLook w:val="04A0"/>
        </w:tblPrEx>
        <w:trPr>
          <w:trHeight w:val="2137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:rsidR="009E5FA2" w:rsidRPr="00F67EA6" w:rsidP="00CE31F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Red Door Cafe, Halton Road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Lancaster Rural East, Lancaster </w:t>
            </w:r>
          </w:p>
        </w:tc>
        <w:tc>
          <w:tcPr>
            <w:tcW w:w="12190" w:type="dxa"/>
            <w:shd w:val="clear" w:color="auto" w:fill="auto"/>
          </w:tcPr>
          <w:p w:rsidR="009E5FA2" w:rsidRPr="0068691C" w:rsidP="00D22912">
            <w:pPr>
              <w:jc w:val="both"/>
              <w:rPr>
                <w:sz w:val="24"/>
                <w:szCs w:val="24"/>
              </w:rPr>
            </w:pPr>
            <w:r w:rsidRPr="007221B4">
              <w:rPr>
                <w:bCs/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bCs/>
                <w:color w:val="000000" w:themeColor="text1"/>
                <w:sz w:val="24"/>
                <w:szCs w:val="24"/>
              </w:rPr>
              <w:t>project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was originally allocated £30,000 for drainage works to</w:t>
            </w:r>
            <w:r w:rsidRPr="0061269C">
              <w:rPr>
                <w:bCs/>
                <w:color w:val="000000" w:themeColor="text1"/>
                <w:sz w:val="24"/>
                <w:szCs w:val="24"/>
              </w:rPr>
              <w:t xml:space="preserve"> reduce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the</w:t>
            </w:r>
            <w:r w:rsidRPr="0061269C">
              <w:rPr>
                <w:bCs/>
                <w:color w:val="000000" w:themeColor="text1"/>
                <w:sz w:val="24"/>
                <w:szCs w:val="24"/>
              </w:rPr>
              <w:t xml:space="preserve"> risk of flooding from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61269C">
              <w:rPr>
                <w:bCs/>
                <w:color w:val="000000" w:themeColor="text1"/>
                <w:sz w:val="24"/>
                <w:szCs w:val="24"/>
              </w:rPr>
              <w:t xml:space="preserve">culvert to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61269C">
              <w:rPr>
                <w:bCs/>
                <w:color w:val="000000" w:themeColor="text1"/>
                <w:sz w:val="24"/>
                <w:szCs w:val="24"/>
              </w:rPr>
              <w:t>road and property.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following a storm which flooded the café in November 2017</w:t>
            </w:r>
            <w:r w:rsidRPr="0061269C">
              <w:rPr>
                <w:sz w:val="24"/>
                <w:szCs w:val="24"/>
              </w:rPr>
              <w:t xml:space="preserve"> preliminary investigation</w:t>
            </w:r>
            <w:r>
              <w:rPr>
                <w:sz w:val="24"/>
                <w:szCs w:val="24"/>
              </w:rPr>
              <w:t>s</w:t>
            </w:r>
            <w:r w:rsidRPr="0061269C">
              <w:rPr>
                <w:sz w:val="24"/>
                <w:szCs w:val="24"/>
              </w:rPr>
              <w:t xml:space="preserve"> found the</w:t>
            </w:r>
            <w:r>
              <w:rPr>
                <w:sz w:val="24"/>
                <w:szCs w:val="24"/>
              </w:rPr>
              <w:t xml:space="preserve"> culvert </w:t>
            </w:r>
            <w:r w:rsidRPr="0061269C">
              <w:rPr>
                <w:sz w:val="24"/>
                <w:szCs w:val="24"/>
              </w:rPr>
              <w:t>adjacent</w:t>
            </w:r>
            <w:r>
              <w:rPr>
                <w:sz w:val="24"/>
                <w:szCs w:val="24"/>
              </w:rPr>
              <w:t xml:space="preserve"> to</w:t>
            </w:r>
            <w:r w:rsidRPr="0061269C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afé was partial</w:t>
            </w:r>
            <w:r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blocked</w:t>
            </w:r>
            <w:r w:rsidRPr="00612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150–</w:t>
            </w:r>
            <w:r w:rsidRPr="0061269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1269C">
              <w:rPr>
                <w:sz w:val="24"/>
                <w:szCs w:val="24"/>
              </w:rPr>
              <w:t>tonnes of gravel under the highway and private land/properties.</w:t>
            </w:r>
            <w:r>
              <w:rPr>
                <w:sz w:val="24"/>
                <w:szCs w:val="24"/>
              </w:rPr>
              <w:t xml:space="preserve"> As such </w:t>
            </w:r>
            <w:r w:rsidRPr="0061269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specialist</w:t>
            </w:r>
            <w:r w:rsidRPr="00612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'</w:t>
            </w:r>
            <w:r w:rsidRPr="0061269C">
              <w:rPr>
                <w:sz w:val="24"/>
                <w:szCs w:val="24"/>
              </w:rPr>
              <w:t>confined spaces team</w:t>
            </w:r>
            <w:r>
              <w:rPr>
                <w:sz w:val="24"/>
                <w:szCs w:val="24"/>
              </w:rPr>
              <w:t>' was</w:t>
            </w:r>
            <w:r>
              <w:rPr>
                <w:sz w:val="24"/>
                <w:szCs w:val="24"/>
              </w:rPr>
              <w:t xml:space="preserve"> required to assist with the</w:t>
            </w:r>
            <w:r w:rsidRPr="0061269C">
              <w:rPr>
                <w:sz w:val="24"/>
                <w:szCs w:val="24"/>
              </w:rPr>
              <w:t xml:space="preserve"> remov</w:t>
            </w:r>
            <w:r>
              <w:rPr>
                <w:sz w:val="24"/>
                <w:szCs w:val="24"/>
              </w:rPr>
              <w:t>al of the gravel</w:t>
            </w:r>
            <w:r w:rsidRPr="0061269C">
              <w:rPr>
                <w:sz w:val="24"/>
                <w:szCs w:val="24"/>
              </w:rPr>
              <w:t xml:space="preserve"> to ensure the free flow of water</w:t>
            </w:r>
            <w:r>
              <w:rPr>
                <w:sz w:val="24"/>
                <w:szCs w:val="24"/>
              </w:rPr>
              <w:t xml:space="preserve"> and</w:t>
            </w:r>
            <w:r w:rsidRPr="0061269C">
              <w:rPr>
                <w:sz w:val="24"/>
                <w:szCs w:val="24"/>
              </w:rPr>
              <w:t xml:space="preserve"> enable a survey of the condition of the culvert under the highway to be c</w:t>
            </w:r>
            <w:r>
              <w:rPr>
                <w:sz w:val="24"/>
                <w:szCs w:val="24"/>
              </w:rPr>
              <w:t>arried out</w:t>
            </w:r>
            <w:r w:rsidRPr="006126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To be able to complete 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additional £12,000</w:t>
            </w:r>
            <w:r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required.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proposed that </w:t>
            </w:r>
            <w:r>
              <w:rPr>
                <w:sz w:val="24"/>
                <w:szCs w:val="24"/>
              </w:rPr>
              <w:t>this is funded</w:t>
            </w:r>
            <w:r>
              <w:rPr>
                <w:sz w:val="24"/>
                <w:szCs w:val="24"/>
              </w:rPr>
              <w:t xml:space="preserve"> from the above </w:t>
            </w:r>
            <w:r>
              <w:rPr>
                <w:sz w:val="24"/>
                <w:szCs w:val="24"/>
              </w:rPr>
              <w:t>released monies relating to Marsh Lane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£12,0</w:t>
            </w:r>
            <w:r w:rsidRPr="0068691C">
              <w:rPr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68691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691C">
              <w:rPr>
                <w:bCs/>
                <w:color w:val="000000" w:themeColor="text1"/>
                <w:sz w:val="24"/>
                <w:szCs w:val="24"/>
              </w:rPr>
              <w:t>£42,000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F67EA6" w:rsidP="009E5FA2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RPr="00F07022" w:rsidP="009E5FA2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2017/18 Drainage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F07022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£42,000</w:t>
            </w:r>
          </w:p>
        </w:tc>
      </w:tr>
      <w:tr w:rsidTr="000B0C18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9E5FA2" w:rsidRPr="00926034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2014/15 Evidence Based Accident Reduction Measures, Appendix B</w:t>
            </w:r>
          </w:p>
        </w:tc>
      </w:tr>
      <w:tr w:rsidTr="000A579F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 w:rsidRPr="000A579F">
              <w:rPr>
                <w:color w:val="000000" w:themeColor="text1"/>
                <w:sz w:val="24"/>
                <w:szCs w:val="24"/>
              </w:rPr>
              <w:t>B5254 Watkin Lane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Lostock Hall and Bamber Bridge, South Ribble</w:t>
            </w:r>
          </w:p>
        </w:tc>
        <w:tc>
          <w:tcPr>
            <w:tcW w:w="12190" w:type="dxa"/>
            <w:shd w:val="clear" w:color="auto" w:fill="auto"/>
          </w:tcPr>
          <w:p w:rsidR="009E5FA2" w:rsidP="009E5FA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This project was allocated </w:t>
            </w:r>
            <w:r w:rsidRPr="000A579F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46,003. 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the works have been completed and the actual costs were less at </w:t>
            </w:r>
            <w:r w:rsidRPr="000A579F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23,313.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</w:t>
            </w:r>
            <w:r w:rsidRPr="000A579F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23,313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and release the remaining funding back into the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72663D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663D">
              <w:rPr>
                <w:bCs/>
                <w:color w:val="000000" w:themeColor="text1"/>
                <w:sz w:val="24"/>
                <w:szCs w:val="24"/>
              </w:rPr>
              <w:t>£46,003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72663D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663D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72663D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663D">
              <w:rPr>
                <w:bCs/>
                <w:color w:val="000000" w:themeColor="text1"/>
                <w:sz w:val="24"/>
                <w:szCs w:val="24"/>
              </w:rPr>
              <w:t>£22,690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72663D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663D">
              <w:rPr>
                <w:bCs/>
                <w:color w:val="000000" w:themeColor="text1"/>
                <w:sz w:val="24"/>
                <w:szCs w:val="24"/>
              </w:rPr>
              <w:t>£23,313</w:t>
            </w:r>
          </w:p>
        </w:tc>
      </w:tr>
      <w:tr w:rsidTr="00B11519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 w:rsidRPr="009E475A">
              <w:rPr>
                <w:color w:val="000000" w:themeColor="text1"/>
                <w:sz w:val="24"/>
                <w:szCs w:val="24"/>
              </w:rPr>
              <w:t xml:space="preserve">B6231 Union </w:t>
            </w:r>
            <w:r w:rsidRPr="009E475A">
              <w:rPr>
                <w:color w:val="000000" w:themeColor="text1"/>
                <w:sz w:val="24"/>
                <w:szCs w:val="24"/>
              </w:rPr>
              <w:t>Road, Market Street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Accrington West and Oswaldtwistle Central, Hyndburn</w:t>
            </w:r>
          </w:p>
        </w:tc>
        <w:tc>
          <w:tcPr>
            <w:tcW w:w="12190" w:type="dxa"/>
            <w:shd w:val="clear" w:color="auto" w:fill="auto"/>
          </w:tcPr>
          <w:p w:rsidR="009E5FA2" w:rsidP="009E5FA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This project was allocated </w:t>
            </w:r>
            <w:r w:rsidRPr="006C3BC5">
              <w:rPr>
                <w:bCs/>
                <w:color w:val="000000" w:themeColor="text1"/>
                <w:sz w:val="24"/>
                <w:szCs w:val="24"/>
              </w:rPr>
              <w:t>£121,000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the works have been completed and the actual costs were less at </w:t>
            </w:r>
            <w:r>
              <w:rPr>
                <w:bCs/>
                <w:color w:val="000000" w:themeColor="text1"/>
                <w:sz w:val="24"/>
                <w:szCs w:val="24"/>
              </w:rPr>
              <w:t>£94,471.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£94,471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and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release the remaining funding back into the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6C3BC5" w:rsidP="00B1151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3BC5">
              <w:rPr>
                <w:bCs/>
                <w:color w:val="000000" w:themeColor="text1"/>
                <w:sz w:val="24"/>
                <w:szCs w:val="24"/>
              </w:rPr>
              <w:t>£121,000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6C3BC5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3BC5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6C3BC5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£26,529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6C3BC5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£94,471</w:t>
            </w:r>
          </w:p>
        </w:tc>
      </w:tr>
      <w:tr w:rsidTr="00CB7142">
        <w:tblPrEx>
          <w:tblW w:w="22397" w:type="dxa"/>
          <w:tblInd w:w="-572" w:type="dxa"/>
          <w:tblLayout w:type="fixed"/>
          <w:tblLook w:val="04A0"/>
        </w:tblPrEx>
        <w:trPr>
          <w:trHeight w:val="2195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 w:rsidRPr="005C0F2D">
              <w:rPr>
                <w:color w:val="000000" w:themeColor="text1"/>
                <w:sz w:val="24"/>
                <w:szCs w:val="24"/>
              </w:rPr>
              <w:t>A6 London</w:t>
            </w:r>
            <w:r>
              <w:rPr>
                <w:color w:val="000000" w:themeColor="text1"/>
                <w:sz w:val="24"/>
                <w:szCs w:val="24"/>
              </w:rPr>
              <w:t xml:space="preserve"> Way</w:t>
            </w:r>
            <w:r w:rsidRPr="005C0F2D"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 xml:space="preserve"> </w:t>
            </w:r>
            <w:r w:rsidRPr="005C0F2D">
              <w:rPr>
                <w:color w:val="000000" w:themeColor="text1"/>
                <w:sz w:val="24"/>
                <w:szCs w:val="24"/>
              </w:rPr>
              <w:t>r</w:t>
            </w:r>
            <w:r>
              <w:rPr>
                <w:color w:val="000000" w:themeColor="text1"/>
                <w:sz w:val="24"/>
                <w:szCs w:val="24"/>
              </w:rPr>
              <w:t>oundabout junction</w:t>
            </w:r>
            <w:r w:rsidRPr="005C0F2D">
              <w:rPr>
                <w:color w:val="000000" w:themeColor="text1"/>
                <w:sz w:val="24"/>
                <w:szCs w:val="24"/>
              </w:rPr>
              <w:t xml:space="preserve"> w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5C0F2D">
              <w:rPr>
                <w:color w:val="000000" w:themeColor="text1"/>
                <w:sz w:val="24"/>
                <w:szCs w:val="24"/>
              </w:rPr>
              <w:t>th Brownedge R</w:t>
            </w:r>
            <w:r>
              <w:rPr>
                <w:color w:val="000000" w:themeColor="text1"/>
                <w:sz w:val="24"/>
                <w:szCs w:val="24"/>
              </w:rPr>
              <w:t>oa</w:t>
            </w:r>
            <w:r w:rsidRPr="005C0F2D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Lostock Hall and Bamber Bridge, South Ribble</w:t>
            </w:r>
          </w:p>
        </w:tc>
        <w:tc>
          <w:tcPr>
            <w:tcW w:w="12190" w:type="dxa"/>
            <w:shd w:val="clear" w:color="auto" w:fill="auto"/>
          </w:tcPr>
          <w:p w:rsidR="009E5FA2" w:rsidP="009E5F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This project was allocated </w:t>
            </w:r>
            <w:r>
              <w:rPr>
                <w:bCs/>
                <w:color w:val="000000" w:themeColor="text1"/>
                <w:sz w:val="24"/>
                <w:szCs w:val="24"/>
              </w:rPr>
              <w:t>£23</w:t>
            </w:r>
            <w:r w:rsidRPr="006C3BC5">
              <w:rPr>
                <w:bCs/>
                <w:color w:val="000000" w:themeColor="text1"/>
                <w:sz w:val="24"/>
                <w:szCs w:val="24"/>
              </w:rPr>
              <w:t>,000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However the works have been completed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in conjunction with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other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works in the area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as such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the actual costs were less at </w:t>
            </w:r>
            <w:r>
              <w:rPr>
                <w:bCs/>
                <w:color w:val="000000" w:themeColor="text1"/>
                <w:sz w:val="24"/>
                <w:szCs w:val="24"/>
              </w:rPr>
              <w:t>£2,027.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It is therefore proposed to reduce the allocation to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£2,027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and release the remaining funding back into the programme.</w:t>
            </w:r>
          </w:p>
          <w:p w:rsidR="009E5FA2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C04AB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ABC">
              <w:rPr>
                <w:bCs/>
                <w:color w:val="000000" w:themeColor="text1"/>
                <w:sz w:val="24"/>
                <w:szCs w:val="24"/>
              </w:rPr>
              <w:t>£23,000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C04AB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ABC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C04AB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ABC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20,973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C04ABC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ABC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2,027</w:t>
            </w:r>
          </w:p>
        </w:tc>
      </w:tr>
      <w:tr w:rsidTr="00495773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P="009E5FA2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2014/15 Evidence Based Accident Reduction Measures, Appendix 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495773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95773">
              <w:rPr>
                <w:rFonts w:ascii="Calibri" w:hAnsi="Calibri"/>
                <w:b/>
                <w:color w:val="000000"/>
                <w:sz w:val="24"/>
                <w:szCs w:val="24"/>
              </w:rPr>
              <w:t>£190,003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495773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95773">
              <w:rPr>
                <w:rFonts w:ascii="Calibri" w:hAnsi="Calibri"/>
                <w:b/>
                <w:color w:val="000000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495773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95773">
              <w:rPr>
                <w:rFonts w:ascii="Calibri" w:hAnsi="Calibri"/>
                <w:b/>
                <w:color w:val="000000"/>
                <w:sz w:val="24"/>
                <w:szCs w:val="24"/>
              </w:rPr>
              <w:t>£70,192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495773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95773">
              <w:rPr>
                <w:rFonts w:ascii="Calibri" w:hAnsi="Calibri"/>
                <w:b/>
                <w:color w:val="000000"/>
                <w:sz w:val="24"/>
                <w:szCs w:val="24"/>
              </w:rPr>
              <w:t>£119,811</w:t>
            </w:r>
          </w:p>
        </w:tc>
      </w:tr>
      <w:tr w:rsidTr="007A58DA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P="009E5F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2016/17 Road Safety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926034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926034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926034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926034" w:rsidP="009E5F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Tr="00A65D38">
        <w:tblPrEx>
          <w:tblW w:w="22397" w:type="dxa"/>
          <w:tblInd w:w="-572" w:type="dxa"/>
          <w:tblLayout w:type="fixed"/>
          <w:tblLook w:val="04A0"/>
        </w:tblPrEx>
        <w:trPr>
          <w:trHeight w:val="2784"/>
        </w:trPr>
        <w:tc>
          <w:tcPr>
            <w:tcW w:w="567" w:type="dxa"/>
            <w:shd w:val="clear" w:color="auto" w:fill="auto"/>
          </w:tcPr>
          <w:p w:rsidR="009E5FA2" w:rsidRPr="00CA3D7F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9E5FA2" w:rsidRPr="00006EFA" w:rsidP="009E5FA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06EFA">
              <w:rPr>
                <w:bCs/>
                <w:color w:val="000000" w:themeColor="text1"/>
                <w:sz w:val="24"/>
                <w:szCs w:val="24"/>
              </w:rPr>
              <w:t>Cotton Tree Lane</w:t>
            </w:r>
          </w:p>
        </w:tc>
        <w:tc>
          <w:tcPr>
            <w:tcW w:w="2410" w:type="dxa"/>
            <w:shd w:val="clear" w:color="auto" w:fill="auto"/>
          </w:tcPr>
          <w:p w:rsidR="009E5FA2" w:rsidRPr="00006EFA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Pendle Rural</w:t>
            </w:r>
            <w:r w:rsidRPr="00006EFA">
              <w:rPr>
                <w:color w:val="000000" w:themeColor="text1"/>
                <w:sz w:val="24"/>
                <w:szCs w:val="24"/>
              </w:rPr>
              <w:t>, Pendle</w:t>
            </w:r>
          </w:p>
        </w:tc>
        <w:tc>
          <w:tcPr>
            <w:tcW w:w="12190" w:type="dxa"/>
            <w:shd w:val="clear" w:color="auto" w:fill="auto"/>
          </w:tcPr>
          <w:p w:rsidR="009E5FA2" w:rsidRPr="00006EFA" w:rsidP="008732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EFA">
              <w:rPr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color w:val="000000" w:themeColor="text1"/>
                <w:sz w:val="24"/>
                <w:szCs w:val="24"/>
              </w:rPr>
              <w:t>project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was originally allocated £18,108 to install a new refuge island at the junction of Cotton Tree Lane. A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initial design had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been completed and the proposed refuge crossing </w:t>
            </w:r>
            <w:r>
              <w:rPr>
                <w:color w:val="000000" w:themeColor="text1"/>
                <w:sz w:val="24"/>
                <w:szCs w:val="24"/>
              </w:rPr>
              <w:t xml:space="preserve">was </w:t>
            </w:r>
            <w:r w:rsidRPr="00006EFA">
              <w:rPr>
                <w:color w:val="000000" w:themeColor="text1"/>
                <w:sz w:val="24"/>
                <w:szCs w:val="24"/>
              </w:rPr>
              <w:t>informa</w:t>
            </w:r>
            <w:r>
              <w:rPr>
                <w:color w:val="000000" w:themeColor="text1"/>
                <w:sz w:val="24"/>
                <w:szCs w:val="24"/>
              </w:rPr>
              <w:t>lly advertised and consulted on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with 100% of the feedback received back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>upporting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the </w:t>
            </w:r>
            <w:r>
              <w:rPr>
                <w:color w:val="000000" w:themeColor="text1"/>
                <w:sz w:val="24"/>
                <w:szCs w:val="24"/>
              </w:rPr>
              <w:t>project</w:t>
            </w:r>
            <w:r w:rsidRPr="00006EFA">
              <w:rPr>
                <w:color w:val="000000" w:themeColor="text1"/>
                <w:sz w:val="24"/>
                <w:szCs w:val="24"/>
              </w:rPr>
              <w:t>. Subsequently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detailed design 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has been </w:t>
            </w:r>
            <w:r>
              <w:rPr>
                <w:color w:val="000000" w:themeColor="text1"/>
                <w:sz w:val="24"/>
                <w:szCs w:val="24"/>
              </w:rPr>
              <w:t xml:space="preserve">completed 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which has </w:t>
            </w:r>
            <w:r>
              <w:rPr>
                <w:color w:val="000000" w:themeColor="text1"/>
                <w:sz w:val="24"/>
                <w:szCs w:val="24"/>
              </w:rPr>
              <w:t>identified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the need for additional lighting in the </w:t>
            </w:r>
            <w:r>
              <w:rPr>
                <w:color w:val="000000" w:themeColor="text1"/>
                <w:sz w:val="24"/>
                <w:szCs w:val="24"/>
              </w:rPr>
              <w:t xml:space="preserve">vicinity </w:t>
            </w:r>
            <w:r>
              <w:rPr>
                <w:color w:val="000000" w:themeColor="text1"/>
                <w:sz w:val="24"/>
                <w:szCs w:val="24"/>
              </w:rPr>
              <w:t xml:space="preserve">of </w:t>
            </w:r>
            <w:r>
              <w:rPr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color w:val="000000" w:themeColor="text1"/>
                <w:sz w:val="24"/>
                <w:szCs w:val="24"/>
              </w:rPr>
              <w:t>new island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and a left turn only arrangement at </w:t>
            </w:r>
            <w:r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junction with Cotton Tree Lane and Keighley Road. </w:t>
            </w:r>
            <w:r w:rsidRPr="00006EFA">
              <w:rPr>
                <w:rFonts w:cs="Arial"/>
                <w:color w:val="000000"/>
                <w:sz w:val="24"/>
                <w:szCs w:val="24"/>
              </w:rPr>
              <w:t>The le</w:t>
            </w:r>
            <w:r w:rsidRPr="00006EFA">
              <w:rPr>
                <w:rFonts w:cs="Arial"/>
                <w:color w:val="000000"/>
                <w:sz w:val="24"/>
                <w:szCs w:val="24"/>
              </w:rPr>
              <w:t>ft turn only arrangement will i</w:t>
            </w:r>
            <w:r>
              <w:rPr>
                <w:rFonts w:cs="Arial"/>
                <w:color w:val="000000"/>
                <w:sz w:val="24"/>
                <w:szCs w:val="24"/>
              </w:rPr>
              <w:t>mprove</w:t>
            </w:r>
            <w:r w:rsidRPr="00006EFA">
              <w:rPr>
                <w:rFonts w:cs="Arial"/>
                <w:color w:val="000000"/>
                <w:sz w:val="24"/>
                <w:szCs w:val="24"/>
              </w:rPr>
              <w:t xml:space="preserve"> si</w:t>
            </w:r>
            <w:r>
              <w:rPr>
                <w:rFonts w:cs="Arial"/>
                <w:color w:val="000000"/>
                <w:sz w:val="24"/>
                <w:szCs w:val="24"/>
              </w:rPr>
              <w:t>ghtlines at the proposed refuge</w:t>
            </w:r>
            <w:r w:rsidRPr="00006EFA">
              <w:rPr>
                <w:rFonts w:cs="Arial"/>
                <w:color w:val="000000"/>
                <w:sz w:val="24"/>
                <w:szCs w:val="24"/>
              </w:rPr>
              <w:t xml:space="preserve"> and also reduce congestion in and around the junction. Additionally at peak times school children cross the road between the bus stops and have to negoti</w:t>
            </w:r>
            <w:r>
              <w:rPr>
                <w:rFonts w:cs="Arial"/>
                <w:color w:val="000000"/>
                <w:sz w:val="24"/>
                <w:szCs w:val="24"/>
              </w:rPr>
              <w:t>ate 3 lanes of traffic to do so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and as such</w:t>
            </w:r>
            <w:r w:rsidRPr="00006EFA">
              <w:rPr>
                <w:rFonts w:cs="Arial"/>
                <w:color w:val="000000"/>
                <w:sz w:val="24"/>
                <w:szCs w:val="24"/>
              </w:rPr>
              <w:t xml:space="preserve"> removing the right turn from Cotton Tree Lane will increase the safety benefit for all vulnerable users.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No responses were received in relation to the further consultation on the proposals. </w:t>
            </w:r>
            <w:r w:rsidRPr="00006EFA">
              <w:rPr>
                <w:color w:val="000000" w:themeColor="text1"/>
                <w:sz w:val="24"/>
                <w:szCs w:val="24"/>
              </w:rPr>
              <w:t>To be able to include this additional wo</w:t>
            </w:r>
            <w:r>
              <w:rPr>
                <w:color w:val="000000" w:themeColor="text1"/>
                <w:sz w:val="24"/>
                <w:szCs w:val="24"/>
              </w:rPr>
              <w:t xml:space="preserve">rk a further </w:t>
            </w:r>
            <w:r>
              <w:rPr>
                <w:color w:val="000000" w:themeColor="text1"/>
                <w:sz w:val="24"/>
                <w:szCs w:val="24"/>
              </w:rPr>
              <w:t>£7,500 is required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and it is proposed that this is </w:t>
            </w:r>
            <w:r>
              <w:rPr>
                <w:color w:val="000000" w:themeColor="text1"/>
                <w:sz w:val="24"/>
                <w:szCs w:val="24"/>
              </w:rPr>
              <w:t xml:space="preserve">funded </w:t>
            </w:r>
            <w:r w:rsidRPr="00006EFA">
              <w:rPr>
                <w:color w:val="000000" w:themeColor="text1"/>
                <w:sz w:val="24"/>
                <w:szCs w:val="24"/>
              </w:rPr>
              <w:t>from the programme</w:t>
            </w:r>
            <w:r>
              <w:rPr>
                <w:color w:val="000000" w:themeColor="text1"/>
                <w:sz w:val="24"/>
                <w:szCs w:val="24"/>
              </w:rPr>
              <w:t>'</w:t>
            </w:r>
            <w:r w:rsidRPr="00006EFA">
              <w:rPr>
                <w:color w:val="000000" w:themeColor="text1"/>
                <w:sz w:val="24"/>
                <w:szCs w:val="24"/>
              </w:rPr>
              <w:t>s unallocated budget.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£18,108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£7,500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£25,608</w:t>
            </w:r>
          </w:p>
        </w:tc>
      </w:tr>
      <w:tr w:rsidTr="00CB7142">
        <w:tblPrEx>
          <w:tblW w:w="22397" w:type="dxa"/>
          <w:tblInd w:w="-572" w:type="dxa"/>
          <w:tblLayout w:type="fixed"/>
          <w:tblLook w:val="04A0"/>
        </w:tblPrEx>
        <w:trPr>
          <w:trHeight w:val="98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B7142" w:rsidRPr="00F67EA6" w:rsidP="00CB71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Tr="00F9752F">
        <w:tblPrEx>
          <w:tblW w:w="22397" w:type="dxa"/>
          <w:tblInd w:w="-572" w:type="dxa"/>
          <w:tblLayout w:type="fixed"/>
          <w:tblLook w:val="04A0"/>
        </w:tblPrEx>
        <w:trPr>
          <w:trHeight w:val="1835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 w:rsidRPr="00D66515">
              <w:rPr>
                <w:bCs/>
                <w:color w:val="000000" w:themeColor="text1"/>
                <w:sz w:val="24"/>
                <w:szCs w:val="24"/>
              </w:rPr>
              <w:t>Netherfield Road with Railway Street</w:t>
            </w: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Nelson East, Pendle</w:t>
            </w:r>
          </w:p>
        </w:tc>
        <w:tc>
          <w:tcPr>
            <w:tcW w:w="12190" w:type="dxa"/>
            <w:shd w:val="clear" w:color="auto" w:fill="auto"/>
          </w:tcPr>
          <w:p w:rsidR="009E5FA2" w:rsidRPr="00006EFA" w:rsidP="00B94B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EFA">
              <w:rPr>
                <w:color w:val="000000" w:themeColor="text1"/>
                <w:sz w:val="24"/>
                <w:szCs w:val="24"/>
              </w:rPr>
              <w:t xml:space="preserve">This </w:t>
            </w:r>
            <w:r>
              <w:rPr>
                <w:color w:val="000000" w:themeColor="text1"/>
                <w:sz w:val="24"/>
                <w:szCs w:val="24"/>
              </w:rPr>
              <w:t>project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was originally allocated £18,108 for improvements to the </w:t>
            </w:r>
            <w:r w:rsidRPr="00006EFA">
              <w:rPr>
                <w:iCs/>
                <w:sz w:val="24"/>
                <w:szCs w:val="24"/>
              </w:rPr>
              <w:t xml:space="preserve">mini-roundabout at the junction of Netherfield Road and Railway Street in Nelson. Whilst </w:t>
            </w:r>
            <w:r w:rsidRPr="00006EFA">
              <w:rPr>
                <w:iCs/>
                <w:sz w:val="24"/>
                <w:szCs w:val="24"/>
              </w:rPr>
              <w:t>completing the design and assessing the area it has been identified that another nearby roundabout on the same road at the junction wit</w:t>
            </w:r>
            <w:r>
              <w:rPr>
                <w:iCs/>
                <w:sz w:val="24"/>
                <w:szCs w:val="24"/>
              </w:rPr>
              <w:t>h Brunswick Street also requires</w:t>
            </w:r>
            <w:r w:rsidRPr="00006EFA">
              <w:rPr>
                <w:iCs/>
                <w:sz w:val="24"/>
                <w:szCs w:val="24"/>
              </w:rPr>
              <w:t xml:space="preserve"> improvement works. To be able to complete works on both roundabouts </w:t>
            </w:r>
            <w:r>
              <w:rPr>
                <w:iCs/>
                <w:sz w:val="24"/>
                <w:szCs w:val="24"/>
              </w:rPr>
              <w:t>an additional £5,000</w:t>
            </w:r>
            <w:r>
              <w:rPr>
                <w:iCs/>
                <w:sz w:val="24"/>
                <w:szCs w:val="24"/>
              </w:rPr>
              <w:t xml:space="preserve"> will be required. This additional work will realise additional</w:t>
            </w:r>
            <w:r w:rsidRPr="00006EFA">
              <w:rPr>
                <w:iCs/>
                <w:sz w:val="24"/>
                <w:szCs w:val="24"/>
              </w:rPr>
              <w:t xml:space="preserve"> benefit</w:t>
            </w:r>
            <w:r>
              <w:rPr>
                <w:iCs/>
                <w:sz w:val="24"/>
                <w:szCs w:val="24"/>
              </w:rPr>
              <w:t>s in the area</w:t>
            </w:r>
            <w:r w:rsidRPr="00006EFA">
              <w:rPr>
                <w:iCs/>
                <w:sz w:val="24"/>
                <w:szCs w:val="24"/>
              </w:rPr>
              <w:t xml:space="preserve"> and </w:t>
            </w:r>
            <w:r>
              <w:rPr>
                <w:iCs/>
                <w:sz w:val="24"/>
                <w:szCs w:val="24"/>
              </w:rPr>
              <w:t xml:space="preserve">will </w:t>
            </w:r>
            <w:r w:rsidRPr="00006EFA">
              <w:rPr>
                <w:iCs/>
                <w:sz w:val="24"/>
                <w:szCs w:val="24"/>
              </w:rPr>
              <w:t xml:space="preserve">be more cost effective </w:t>
            </w:r>
            <w:r>
              <w:rPr>
                <w:iCs/>
                <w:sz w:val="24"/>
                <w:szCs w:val="24"/>
              </w:rPr>
              <w:t>than completing the work at different times</w:t>
            </w:r>
            <w:r w:rsidRPr="00006EFA">
              <w:rPr>
                <w:iCs/>
                <w:sz w:val="24"/>
                <w:szCs w:val="24"/>
              </w:rPr>
              <w:t>.</w:t>
            </w:r>
            <w:r w:rsidRPr="00006EFA">
              <w:rPr>
                <w:color w:val="000000" w:themeColor="text1"/>
                <w:sz w:val="24"/>
                <w:szCs w:val="24"/>
              </w:rPr>
              <w:t xml:space="preserve"> It is proposed that this </w:t>
            </w:r>
            <w:r>
              <w:rPr>
                <w:color w:val="000000" w:themeColor="text1"/>
                <w:sz w:val="24"/>
                <w:szCs w:val="24"/>
              </w:rPr>
              <w:t xml:space="preserve">funding </w:t>
            </w:r>
            <w:r w:rsidRPr="00006EFA">
              <w:rPr>
                <w:color w:val="000000" w:themeColor="text1"/>
                <w:sz w:val="24"/>
                <w:szCs w:val="24"/>
              </w:rPr>
              <w:t>is taken from the programme</w:t>
            </w:r>
            <w:r>
              <w:rPr>
                <w:color w:val="000000" w:themeColor="text1"/>
                <w:sz w:val="24"/>
                <w:szCs w:val="24"/>
              </w:rPr>
              <w:t>'</w:t>
            </w:r>
            <w:r w:rsidRPr="00006EFA">
              <w:rPr>
                <w:color w:val="000000" w:themeColor="text1"/>
                <w:sz w:val="24"/>
                <w:szCs w:val="24"/>
              </w:rPr>
              <w:t>s unallocated budget.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£18,108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5,</w:t>
            </w:r>
            <w:r>
              <w:rPr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566639" w:rsidP="009E5F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6639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23,108</w:t>
            </w:r>
          </w:p>
        </w:tc>
      </w:tr>
      <w:tr w:rsidTr="0090775F">
        <w:tblPrEx>
          <w:tblW w:w="22397" w:type="dxa"/>
          <w:tblInd w:w="-572" w:type="dxa"/>
          <w:tblLayout w:type="fixed"/>
          <w:tblLook w:val="04A0"/>
        </w:tblPrEx>
        <w:trPr>
          <w:trHeight w:val="444"/>
        </w:trPr>
        <w:tc>
          <w:tcPr>
            <w:tcW w:w="567" w:type="dxa"/>
            <w:shd w:val="clear" w:color="auto" w:fill="auto"/>
          </w:tcPr>
          <w:p w:rsidR="009E5FA2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A2" w:rsidRPr="00CD085D" w:rsidP="009E5FA2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9E5FA2" w:rsidRPr="0095078D" w:rsidP="009E5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9E5FA2" w:rsidP="009E5FA2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2016/17 Road Safety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A2" w:rsidRPr="0090775F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0775F">
              <w:rPr>
                <w:rFonts w:ascii="Calibri" w:hAnsi="Calibri"/>
                <w:b/>
                <w:color w:val="000000"/>
                <w:sz w:val="24"/>
                <w:szCs w:val="24"/>
              </w:rPr>
              <w:t>£36,216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FA2" w:rsidRPr="0090775F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0775F">
              <w:rPr>
                <w:rFonts w:ascii="Calibri" w:hAnsi="Calibri"/>
                <w:b/>
                <w:color w:val="000000"/>
                <w:sz w:val="24"/>
                <w:szCs w:val="24"/>
              </w:rPr>
              <w:t>£12,500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FA2" w:rsidRPr="0090775F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0775F">
              <w:rPr>
                <w:rFonts w:ascii="Calibri" w:hAnsi="Calibri"/>
                <w:b/>
                <w:color w:val="000000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FA2" w:rsidRPr="0090775F" w:rsidP="009E5F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0775F">
              <w:rPr>
                <w:rFonts w:ascii="Calibri" w:hAnsi="Calibri"/>
                <w:b/>
                <w:color w:val="000000"/>
                <w:sz w:val="24"/>
                <w:szCs w:val="24"/>
              </w:rPr>
              <w:t>£48,716</w:t>
            </w:r>
          </w:p>
        </w:tc>
      </w:tr>
    </w:tbl>
    <w:p w:rsidR="00F67EA6" w:rsidRPr="00F67EA6" w:rsidP="0016638D">
      <w:pPr>
        <w:rPr>
          <w:color w:val="000000" w:themeColor="text1"/>
        </w:rPr>
      </w:pPr>
    </w:p>
    <w:sectPr w:rsidSect="00E0131D">
      <w:footerReference w:type="default" r:id="rId5"/>
      <w:pgSz w:w="23814" w:h="16839" w:orient="landscape" w:code="8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9580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9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91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3472F"/>
    <w:multiLevelType w:val="hybridMultilevel"/>
    <w:tmpl w:val="19482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A0B"/>
    <w:multiLevelType w:val="hybridMultilevel"/>
    <w:tmpl w:val="E08E2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3C0B"/>
    <w:multiLevelType w:val="hybridMultilevel"/>
    <w:tmpl w:val="60E24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FC0"/>
    <w:multiLevelType w:val="hybridMultilevel"/>
    <w:tmpl w:val="48EAC68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724BD6"/>
    <w:multiLevelType w:val="hybridMultilevel"/>
    <w:tmpl w:val="625A7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57236"/>
    <w:multiLevelType w:val="hybridMultilevel"/>
    <w:tmpl w:val="7F822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F6FC3"/>
    <w:multiLevelType w:val="hybridMultilevel"/>
    <w:tmpl w:val="D408DA4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E4F7418"/>
    <w:multiLevelType w:val="hybridMultilevel"/>
    <w:tmpl w:val="342E1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92C22"/>
    <w:multiLevelType w:val="hybridMultilevel"/>
    <w:tmpl w:val="7BCCE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ED3"/>
    <w:multiLevelType w:val="hybridMultilevel"/>
    <w:tmpl w:val="BDEC7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5BA"/>
    <w:multiLevelType w:val="hybridMultilevel"/>
    <w:tmpl w:val="5CBC2A4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F5218"/>
    <w:multiLevelType w:val="hybridMultilevel"/>
    <w:tmpl w:val="6D9C8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68AA"/>
    <w:multiLevelType w:val="hybridMultilevel"/>
    <w:tmpl w:val="37725E7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EF53861"/>
    <w:multiLevelType w:val="hybridMultilevel"/>
    <w:tmpl w:val="233C2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3482"/>
    <w:multiLevelType w:val="hybridMultilevel"/>
    <w:tmpl w:val="0F12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C1B9D"/>
    <w:multiLevelType w:val="hybridMultilevel"/>
    <w:tmpl w:val="0D305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78D"/>
    <w:multiLevelType w:val="hybridMultilevel"/>
    <w:tmpl w:val="08808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61CB6"/>
    <w:multiLevelType w:val="hybridMultilevel"/>
    <w:tmpl w:val="5756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45D92"/>
    <w:multiLevelType w:val="hybridMultilevel"/>
    <w:tmpl w:val="46D24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283B"/>
    <w:multiLevelType w:val="hybridMultilevel"/>
    <w:tmpl w:val="E708D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65B87"/>
    <w:multiLevelType w:val="hybridMultilevel"/>
    <w:tmpl w:val="336AC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14567"/>
    <w:multiLevelType w:val="hybridMultilevel"/>
    <w:tmpl w:val="1B6ED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D50AF"/>
    <w:multiLevelType w:val="hybridMultilevel"/>
    <w:tmpl w:val="47701AE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16A41"/>
    <w:multiLevelType w:val="hybridMultilevel"/>
    <w:tmpl w:val="11DEE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C6804"/>
    <w:multiLevelType w:val="hybridMultilevel"/>
    <w:tmpl w:val="7BDAB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833E0"/>
    <w:multiLevelType w:val="hybridMultilevel"/>
    <w:tmpl w:val="6CC2B90C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A2394"/>
    <w:multiLevelType w:val="hybridMultilevel"/>
    <w:tmpl w:val="2598B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6B2F"/>
    <w:multiLevelType w:val="hybridMultilevel"/>
    <w:tmpl w:val="73002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B2F19"/>
    <w:multiLevelType w:val="hybridMultilevel"/>
    <w:tmpl w:val="3C34F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746A9"/>
    <w:multiLevelType w:val="hybridMultilevel"/>
    <w:tmpl w:val="775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79E"/>
    <w:multiLevelType w:val="hybridMultilevel"/>
    <w:tmpl w:val="6FF0A3FA"/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57E40"/>
    <w:multiLevelType w:val="hybridMultilevel"/>
    <w:tmpl w:val="46B62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C3E4A"/>
    <w:multiLevelType w:val="hybridMultilevel"/>
    <w:tmpl w:val="DA20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07DA8"/>
    <w:multiLevelType w:val="hybridMultilevel"/>
    <w:tmpl w:val="7FCC1D1C"/>
    <w:lvl w:ilvl="0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31"/>
  </w:num>
  <w:num w:numId="5">
    <w:abstractNumId w:val="1"/>
  </w:num>
  <w:num w:numId="6">
    <w:abstractNumId w:val="27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4"/>
  </w:num>
  <w:num w:numId="14">
    <w:abstractNumId w:val="8"/>
  </w:num>
  <w:num w:numId="15">
    <w:abstractNumId w:val="20"/>
  </w:num>
  <w:num w:numId="16">
    <w:abstractNumId w:val="5"/>
  </w:num>
  <w:num w:numId="17">
    <w:abstractNumId w:val="21"/>
  </w:num>
  <w:num w:numId="18">
    <w:abstractNumId w:val="29"/>
  </w:num>
  <w:num w:numId="19">
    <w:abstractNumId w:val="6"/>
  </w:num>
  <w:num w:numId="20">
    <w:abstractNumId w:val="0"/>
  </w:num>
  <w:num w:numId="21">
    <w:abstractNumId w:val="26"/>
  </w:num>
  <w:num w:numId="22">
    <w:abstractNumId w:val="12"/>
  </w:num>
  <w:num w:numId="23">
    <w:abstractNumId w:val="15"/>
  </w:num>
  <w:num w:numId="24">
    <w:abstractNumId w:val="25"/>
  </w:num>
  <w:num w:numId="25">
    <w:abstractNumId w:val="16"/>
  </w:num>
  <w:num w:numId="26">
    <w:abstractNumId w:val="11"/>
  </w:num>
  <w:num w:numId="27">
    <w:abstractNumId w:val="23"/>
  </w:num>
  <w:num w:numId="28">
    <w:abstractNumId w:val="13"/>
  </w:num>
  <w:num w:numId="29">
    <w:abstractNumId w:val="19"/>
  </w:num>
  <w:num w:numId="30">
    <w:abstractNumId w:val="3"/>
  </w:num>
  <w:num w:numId="31">
    <w:abstractNumId w:val="7"/>
  </w:num>
  <w:num w:numId="32">
    <w:abstractNumId w:val="28"/>
  </w:num>
  <w:num w:numId="33">
    <w:abstractNumId w:val="2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1" w:formatting="1" w:inkAnnotations="1" w:insDel="1"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2C8"/>
    <w:pPr>
      <w:ind w:left="720"/>
      <w:contextualSpacing/>
    </w:pPr>
  </w:style>
  <w:style w:type="character" w:customStyle="1" w:styleId="displayonly">
    <w:name w:val="display_only"/>
    <w:basedOn w:val="DefaultParagraphFont"/>
    <w:rsid w:val="00F94F3B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4B"/>
  </w:style>
  <w:style w:type="paragraph" w:styleId="Footer">
    <w:name w:val="footer"/>
    <w:basedOn w:val="Normal"/>
    <w:link w:val="FooterChar"/>
    <w:uiPriority w:val="99"/>
    <w:unhideWhenUsed/>
    <w:rsid w:val="0038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4B"/>
  </w:style>
  <w:style w:type="paragraph" w:styleId="Revision">
    <w:name w:val="Revision"/>
    <w:hidden/>
    <w:uiPriority w:val="99"/>
    <w:semiHidden/>
    <w:rsid w:val="00EE1B35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0D19EF"/>
    <w:pPr>
      <w:spacing w:after="0" w:line="240" w:lineRule="auto"/>
    </w:pPr>
    <w:rPr>
      <w:rFonts w:ascii="Calibri" w:hAnsi="Calibri" w:cs="Times New Roman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1F0E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EA2"/>
    <w:rPr>
      <w:rFonts w:ascii="Calibri" w:hAnsi="Calibri"/>
      <w:szCs w:val="21"/>
    </w:rPr>
  </w:style>
  <w:style w:type="character" w:customStyle="1" w:styleId="projecttitle1">
    <w:name w:val="project_title1"/>
    <w:basedOn w:val="DefaultParagraphFont"/>
    <w:rsid w:val="00C10B35"/>
    <w:rPr>
      <w:rFonts w:ascii="Arial" w:hAnsi="Arial" w:cs="Arial" w:hint="default"/>
      <w:b/>
      <w:bCs/>
      <w:color w:val="777777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C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F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DD80-8DF6-4324-84C8-557256C0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5466</TotalTime>
  <Pages>5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Kiara</dc:creator>
  <cp:lastModifiedBy>Hyde, Ryan</cp:lastModifiedBy>
  <cp:revision>178</cp:revision>
  <cp:lastPrinted>2018-02-06T10:35:00Z</cp:lastPrinted>
  <dcterms:created xsi:type="dcterms:W3CDTF">2017-12-28T10:54:00Z</dcterms:created>
  <dcterms:modified xsi:type="dcterms:W3CDTF">2018-02-16T13:22:00Z</dcterms:modified>
</cp:coreProperties>
</file>